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46F5" w14:textId="77777777" w:rsidR="00ED60B7" w:rsidRDefault="00ED60B7" w:rsidP="00FD021B">
      <w:pPr>
        <w:rPr>
          <w:rFonts w:ascii="Arial" w:hAnsi="Arial" w:cs="Arial"/>
          <w:b/>
          <w:lang w:val="en-GB"/>
        </w:rPr>
      </w:pPr>
    </w:p>
    <w:p w14:paraId="7A915048" w14:textId="33C1E29A" w:rsidR="00042103" w:rsidRDefault="00042103" w:rsidP="00723AF5">
      <w:pPr>
        <w:jc w:val="both"/>
        <w:rPr>
          <w:rFonts w:asciiTheme="majorHAnsi" w:hAnsiTheme="majorHAnsi" w:cstheme="majorHAnsi"/>
          <w:sz w:val="22"/>
          <w:szCs w:val="22"/>
        </w:rPr>
      </w:pPr>
    </w:p>
    <w:p w14:paraId="4A7DD134" w14:textId="77777777" w:rsidR="00F92789" w:rsidRDefault="00F92789" w:rsidP="00F92789">
      <w:pPr>
        <w:jc w:val="center"/>
        <w:rPr>
          <w:rFonts w:asciiTheme="majorHAnsi" w:hAnsiTheme="majorHAnsi" w:cstheme="majorHAnsi"/>
          <w:sz w:val="32"/>
          <w:szCs w:val="32"/>
        </w:rPr>
      </w:pPr>
      <w:r w:rsidRPr="00684A27">
        <w:rPr>
          <w:rFonts w:asciiTheme="majorHAnsi" w:hAnsiTheme="majorHAnsi" w:cstheme="majorHAnsi"/>
          <w:sz w:val="32"/>
          <w:szCs w:val="32"/>
        </w:rPr>
        <w:t>IDENTITY OF EXECUTION VENUES</w:t>
      </w:r>
      <w:r>
        <w:rPr>
          <w:rFonts w:asciiTheme="majorHAnsi" w:hAnsiTheme="majorHAnsi" w:cstheme="majorHAnsi"/>
          <w:sz w:val="32"/>
          <w:szCs w:val="32"/>
        </w:rPr>
        <w:t xml:space="preserve"> AND BROKERS</w:t>
      </w:r>
    </w:p>
    <w:p w14:paraId="57CF99F8" w14:textId="77777777" w:rsidR="00F92789" w:rsidRDefault="00F92789" w:rsidP="00F92789">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p>
    <w:p w14:paraId="5252B661" w14:textId="77777777" w:rsidR="00F92789" w:rsidRDefault="00F92789" w:rsidP="00F92789">
      <w:pPr>
        <w:jc w:val="center"/>
        <w:rPr>
          <w:rFonts w:asciiTheme="majorHAnsi" w:hAnsiTheme="majorHAnsi" w:cstheme="majorHAnsi"/>
          <w:sz w:val="32"/>
          <w:szCs w:val="32"/>
        </w:rPr>
      </w:pPr>
      <w:r>
        <w:rPr>
          <w:rFonts w:asciiTheme="majorHAnsi" w:hAnsiTheme="majorHAnsi" w:cstheme="majorHAnsi"/>
          <w:sz w:val="32"/>
          <w:szCs w:val="32"/>
        </w:rPr>
        <w:t>Sanlam Private Investments (UK) Ltd</w:t>
      </w:r>
    </w:p>
    <w:p w14:paraId="4A2B87AC" w14:textId="77777777" w:rsidR="00F92789" w:rsidRDefault="00F92789" w:rsidP="00F92789">
      <w:pPr>
        <w:jc w:val="center"/>
        <w:rPr>
          <w:rFonts w:asciiTheme="majorHAnsi" w:hAnsiTheme="majorHAnsi" w:cstheme="majorHAnsi"/>
          <w:sz w:val="32"/>
          <w:szCs w:val="32"/>
        </w:rPr>
      </w:pPr>
      <w:r>
        <w:rPr>
          <w:rFonts w:asciiTheme="majorHAnsi" w:hAnsiTheme="majorHAnsi" w:cstheme="majorHAnsi"/>
          <w:sz w:val="32"/>
          <w:szCs w:val="32"/>
        </w:rPr>
        <w:t>Retail Clients</w:t>
      </w:r>
    </w:p>
    <w:p w14:paraId="0300A290" w14:textId="77777777" w:rsidR="00F92789" w:rsidRDefault="00F92789" w:rsidP="00F92789">
      <w:pPr>
        <w:jc w:val="center"/>
        <w:rPr>
          <w:rFonts w:asciiTheme="majorHAnsi" w:hAnsiTheme="majorHAnsi" w:cstheme="majorHAnsi"/>
          <w:sz w:val="32"/>
          <w:szCs w:val="32"/>
        </w:rPr>
      </w:pPr>
    </w:p>
    <w:p w14:paraId="4A690FF4" w14:textId="5D6394CA" w:rsidR="00F92789" w:rsidRDefault="00D21132" w:rsidP="00F92789">
      <w:pPr>
        <w:jc w:val="center"/>
        <w:rPr>
          <w:rFonts w:asciiTheme="majorHAnsi" w:hAnsiTheme="majorHAnsi" w:cstheme="majorHAnsi"/>
          <w:sz w:val="32"/>
          <w:szCs w:val="32"/>
        </w:rPr>
      </w:pPr>
      <w:r>
        <w:rPr>
          <w:rFonts w:asciiTheme="majorHAnsi" w:hAnsiTheme="majorHAnsi" w:cstheme="majorHAnsi"/>
          <w:sz w:val="32"/>
          <w:szCs w:val="32"/>
        </w:rPr>
        <w:t>2020</w:t>
      </w:r>
    </w:p>
    <w:p w14:paraId="3B95F2D6" w14:textId="77777777" w:rsidR="00F92789" w:rsidRDefault="00F92789" w:rsidP="00F92789">
      <w:pPr>
        <w:jc w:val="center"/>
        <w:rPr>
          <w:rFonts w:asciiTheme="majorHAnsi" w:hAnsiTheme="majorHAnsi" w:cstheme="majorHAnsi"/>
          <w:sz w:val="32"/>
          <w:szCs w:val="32"/>
        </w:rPr>
      </w:pPr>
    </w:p>
    <w:p w14:paraId="0291DB81" w14:textId="77777777" w:rsidR="00F92789" w:rsidRDefault="00F92789" w:rsidP="00F92789">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309E9C96" w14:textId="77777777" w:rsidR="00F92789" w:rsidRDefault="00F92789" w:rsidP="00F92789">
      <w:pPr>
        <w:rPr>
          <w:rFonts w:asciiTheme="majorHAnsi" w:hAnsiTheme="majorHAnsi" w:cstheme="majorHAnsi"/>
          <w:b/>
          <w:sz w:val="22"/>
          <w:szCs w:val="22"/>
        </w:rPr>
      </w:pPr>
    </w:p>
    <w:p w14:paraId="4FE9ED3A" w14:textId="77777777" w:rsidR="00F92789" w:rsidRDefault="00F92789" w:rsidP="00F92789">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  Aside from the explicit best execution rules explained in the policy, we have an overriding duty to act honestly, fairly and professionally in accordance with the best interests of our clients at all time.</w:t>
      </w:r>
    </w:p>
    <w:p w14:paraId="5C3EA688" w14:textId="77777777" w:rsidR="00F92789" w:rsidRDefault="00F92789" w:rsidP="00F92789">
      <w:pPr>
        <w:jc w:val="both"/>
        <w:rPr>
          <w:rFonts w:asciiTheme="majorHAnsi" w:hAnsiTheme="majorHAnsi" w:cstheme="majorHAnsi"/>
          <w:sz w:val="22"/>
          <w:szCs w:val="22"/>
        </w:rPr>
      </w:pPr>
    </w:p>
    <w:p w14:paraId="6A878ECA" w14:textId="77777777" w:rsidR="00F92789" w:rsidRDefault="00F92789" w:rsidP="00F92789">
      <w:pPr>
        <w:jc w:val="both"/>
        <w:rPr>
          <w:rFonts w:asciiTheme="majorHAnsi" w:hAnsiTheme="majorHAnsi" w:cstheme="majorHAnsi"/>
          <w:sz w:val="22"/>
          <w:szCs w:val="22"/>
        </w:rPr>
      </w:pPr>
      <w:r w:rsidRPr="00C237BA">
        <w:rPr>
          <w:rFonts w:asciiTheme="majorHAnsi" w:hAnsiTheme="majorHAnsi" w:cstheme="majorHAnsi"/>
          <w:sz w:val="22"/>
          <w:szCs w:val="22"/>
        </w:rPr>
        <w:t>There may be various reasons for executing client orders undertaken as part of a number of possible contractual relationships with a client, namely discretionary, advisory or execution-only.  In order to meet these distinct needs, we have investigated and considered a number of execution strategies</w:t>
      </w:r>
      <w:r>
        <w:rPr>
          <w:rFonts w:asciiTheme="majorHAnsi" w:hAnsiTheme="majorHAnsi" w:cstheme="majorHAnsi"/>
          <w:sz w:val="22"/>
          <w:szCs w:val="22"/>
        </w:rPr>
        <w:t xml:space="preserve"> and</w:t>
      </w:r>
      <w:r w:rsidRPr="00C237BA">
        <w:rPr>
          <w:rFonts w:asciiTheme="majorHAnsi" w:hAnsiTheme="majorHAnsi" w:cstheme="majorHAnsi"/>
          <w:sz w:val="22"/>
          <w:szCs w:val="22"/>
        </w:rPr>
        <w:t xml:space="preserve"> trading entities and venues in order to facilitate the most appropriate choice.</w:t>
      </w:r>
    </w:p>
    <w:p w14:paraId="6D7DBDFC" w14:textId="77777777" w:rsidR="00F92789" w:rsidRDefault="00F92789" w:rsidP="00F92789">
      <w:pPr>
        <w:jc w:val="both"/>
        <w:rPr>
          <w:rFonts w:asciiTheme="majorHAnsi" w:hAnsiTheme="majorHAnsi" w:cstheme="majorHAnsi"/>
          <w:sz w:val="22"/>
          <w:szCs w:val="22"/>
        </w:rPr>
      </w:pPr>
    </w:p>
    <w:p w14:paraId="77277B6A" w14:textId="59BA2293" w:rsidR="00036492" w:rsidRDefault="00F92789" w:rsidP="00036492">
      <w:pPr>
        <w:jc w:val="both"/>
        <w:rPr>
          <w:rFonts w:asciiTheme="majorHAnsi" w:hAnsiTheme="majorHAnsi" w:cstheme="majorHAnsi"/>
          <w:sz w:val="22"/>
          <w:szCs w:val="22"/>
        </w:rPr>
      </w:pPr>
      <w:bookmarkStart w:id="0" w:name="_Hlk70075858"/>
      <w:r w:rsidRPr="00501591">
        <w:rPr>
          <w:rFonts w:asciiTheme="majorHAnsi" w:hAnsiTheme="majorHAnsi" w:cstheme="majorHAnsi"/>
          <w:sz w:val="22"/>
          <w:szCs w:val="22"/>
        </w:rPr>
        <w:t xml:space="preserve">Sanlam </w:t>
      </w:r>
      <w:r>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 xml:space="preserve">has both professional and retail clients. We always strive to obtain the best outcome for our clients. Hence, Sanlam </w:t>
      </w:r>
      <w:r>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may exercise its judgment in the best interest of our clients, given the different needs and requirements. Specifically, best execution for retail client orders is assessed on the basis of “total consideration” which is the sum of the price and the costs incurred by clients.</w:t>
      </w:r>
      <w:r>
        <w:rPr>
          <w:rFonts w:asciiTheme="majorHAnsi" w:hAnsiTheme="majorHAnsi" w:cstheme="majorHAnsi"/>
          <w:sz w:val="22"/>
          <w:szCs w:val="22"/>
        </w:rPr>
        <w:t xml:space="preserve"> This report includes orders </w:t>
      </w:r>
      <w:r w:rsidRPr="007B7492">
        <w:rPr>
          <w:rFonts w:asciiTheme="majorHAnsi" w:hAnsiTheme="majorHAnsi" w:cstheme="majorHAnsi"/>
          <w:sz w:val="22"/>
          <w:szCs w:val="22"/>
        </w:rPr>
        <w:t xml:space="preserve">arising from discretionary, </w:t>
      </w:r>
      <w:r w:rsidRPr="00B04512">
        <w:rPr>
          <w:rFonts w:asciiTheme="majorHAnsi" w:hAnsiTheme="majorHAnsi" w:cstheme="majorHAnsi"/>
          <w:sz w:val="22"/>
          <w:szCs w:val="22"/>
        </w:rPr>
        <w:t>advisory and execution-only business undertaken for segregated clients’ accounts.</w:t>
      </w:r>
      <w:r w:rsidR="00036492" w:rsidRPr="00036492">
        <w:rPr>
          <w:rFonts w:asciiTheme="majorHAnsi" w:hAnsiTheme="majorHAnsi" w:cstheme="majorHAnsi"/>
          <w:sz w:val="22"/>
          <w:szCs w:val="22"/>
        </w:rPr>
        <w:t xml:space="preserve"> </w:t>
      </w:r>
      <w:r w:rsidR="00036492">
        <w:rPr>
          <w:rFonts w:asciiTheme="majorHAnsi" w:hAnsiTheme="majorHAnsi" w:cstheme="majorHAnsi"/>
          <w:sz w:val="22"/>
          <w:szCs w:val="22"/>
        </w:rPr>
        <w:t xml:space="preserve"> </w:t>
      </w:r>
      <w:r w:rsidR="00036492" w:rsidRPr="00036492">
        <w:rPr>
          <w:rFonts w:asciiTheme="majorHAnsi" w:hAnsiTheme="majorHAnsi" w:cstheme="majorHAnsi"/>
          <w:sz w:val="22"/>
          <w:szCs w:val="22"/>
        </w:rPr>
        <w:t>We have created a separate report for professional clients, which can be found on our website.</w:t>
      </w:r>
    </w:p>
    <w:p w14:paraId="0BEE6E40" w14:textId="40B68C9E" w:rsidR="00F92789" w:rsidRDefault="00F92789" w:rsidP="00F92789">
      <w:pPr>
        <w:jc w:val="both"/>
        <w:rPr>
          <w:rFonts w:asciiTheme="majorHAnsi" w:hAnsiTheme="majorHAnsi" w:cstheme="majorHAnsi"/>
          <w:sz w:val="22"/>
          <w:szCs w:val="22"/>
        </w:rPr>
      </w:pPr>
      <w:r w:rsidRPr="00B04512">
        <w:rPr>
          <w:rFonts w:asciiTheme="majorHAnsi" w:hAnsiTheme="majorHAnsi" w:cstheme="majorHAnsi"/>
          <w:sz w:val="22"/>
          <w:szCs w:val="22"/>
        </w:rPr>
        <w:t xml:space="preserve"> </w:t>
      </w:r>
    </w:p>
    <w:bookmarkEnd w:id="0"/>
    <w:p w14:paraId="550850E9" w14:textId="77777777" w:rsidR="00F92789" w:rsidRDefault="00F92789" w:rsidP="00F92789">
      <w:pPr>
        <w:jc w:val="both"/>
        <w:rPr>
          <w:rFonts w:asciiTheme="majorHAnsi" w:hAnsiTheme="majorHAnsi" w:cstheme="majorHAnsi"/>
          <w:sz w:val="22"/>
          <w:szCs w:val="22"/>
        </w:rPr>
      </w:pPr>
    </w:p>
    <w:p w14:paraId="7FFC6669" w14:textId="77777777" w:rsidR="00D21132" w:rsidRDefault="00F92789" w:rsidP="00F92789">
      <w:pPr>
        <w:jc w:val="both"/>
        <w:rPr>
          <w:rFonts w:asciiTheme="majorHAnsi" w:hAnsiTheme="majorHAnsi" w:cstheme="majorHAnsi"/>
          <w:sz w:val="22"/>
          <w:szCs w:val="22"/>
        </w:rPr>
      </w:pPr>
      <w:r w:rsidRPr="00FD5D20">
        <w:rPr>
          <w:rFonts w:asciiTheme="majorHAnsi" w:hAnsiTheme="majorHAnsi" w:cstheme="majorHAnsi"/>
          <w:sz w:val="22"/>
          <w:szCs w:val="22"/>
        </w:rPr>
        <w:t xml:space="preserve">The Firm placed client orders with a close affiliate, Sanlam Securities UK Limited.  We are managing this conflict of interest by having a broker approval process in place and a Conflicts of Interest Policy in order to minimise the risks of disadvantaging our clients. </w:t>
      </w:r>
    </w:p>
    <w:p w14:paraId="26C72BD6" w14:textId="77777777" w:rsidR="00D21132" w:rsidRDefault="00D21132" w:rsidP="00F92789">
      <w:pPr>
        <w:jc w:val="both"/>
        <w:rPr>
          <w:rFonts w:asciiTheme="majorHAnsi" w:hAnsiTheme="majorHAnsi" w:cstheme="majorHAnsi"/>
          <w:sz w:val="22"/>
          <w:szCs w:val="22"/>
        </w:rPr>
      </w:pPr>
    </w:p>
    <w:p w14:paraId="3B14D54F" w14:textId="5B8050BD" w:rsidR="00F92789" w:rsidRPr="00FD5D20" w:rsidRDefault="00D21132" w:rsidP="00F92789">
      <w:pPr>
        <w:jc w:val="both"/>
        <w:rPr>
          <w:rFonts w:asciiTheme="majorHAnsi" w:hAnsiTheme="majorHAnsi" w:cstheme="majorHAnsi"/>
          <w:sz w:val="22"/>
          <w:szCs w:val="22"/>
        </w:rPr>
      </w:pPr>
      <w:r>
        <w:rPr>
          <w:rFonts w:asciiTheme="majorHAnsi" w:hAnsiTheme="majorHAnsi" w:cstheme="majorHAnsi"/>
          <w:sz w:val="22"/>
          <w:szCs w:val="22"/>
        </w:rPr>
        <w:t xml:space="preserve">The Firm outsourced a significant portion of the administration of its assets to Pershing Securities Limited </w:t>
      </w:r>
      <w:r w:rsidR="001A2FAF">
        <w:rPr>
          <w:rFonts w:asciiTheme="majorHAnsi" w:hAnsiTheme="majorHAnsi" w:cstheme="majorHAnsi"/>
          <w:sz w:val="22"/>
          <w:szCs w:val="22"/>
        </w:rPr>
        <w:t>mid-way</w:t>
      </w:r>
      <w:r>
        <w:rPr>
          <w:rFonts w:asciiTheme="majorHAnsi" w:hAnsiTheme="majorHAnsi" w:cstheme="majorHAnsi"/>
          <w:sz w:val="22"/>
          <w:szCs w:val="22"/>
        </w:rPr>
        <w:t xml:space="preserve"> through 2020. As part of the outsourcing arrangement, Pershing became the sole executing broker of the affected assets. </w:t>
      </w:r>
    </w:p>
    <w:p w14:paraId="2948094C" w14:textId="77777777" w:rsidR="00F92789" w:rsidRDefault="00F92789" w:rsidP="00F92789">
      <w:r>
        <w:rPr>
          <w:rFonts w:ascii="Times New Roman" w:hAnsi="Times New Roman"/>
          <w:lang w:eastAsia="en-GB"/>
        </w:rPr>
        <w:t> </w:t>
      </w:r>
    </w:p>
    <w:p w14:paraId="06CD5014" w14:textId="336999EE" w:rsidR="00F92789" w:rsidRPr="00D865DA" w:rsidRDefault="00F92789" w:rsidP="00A46C9D">
      <w:pPr>
        <w:jc w:val="both"/>
        <w:rPr>
          <w:rFonts w:asciiTheme="majorHAnsi" w:hAnsiTheme="majorHAnsi" w:cstheme="majorHAnsi"/>
          <w:sz w:val="22"/>
          <w:szCs w:val="22"/>
        </w:rPr>
      </w:pPr>
      <w:r w:rsidRPr="006C43EB">
        <w:rPr>
          <w:rFonts w:asciiTheme="majorHAnsi" w:hAnsiTheme="majorHAnsi" w:cstheme="majorHAnsi"/>
          <w:sz w:val="22"/>
          <w:szCs w:val="22"/>
        </w:rPr>
        <w:t>Sanla</w:t>
      </w:r>
      <w:r>
        <w:rPr>
          <w:rFonts w:asciiTheme="majorHAnsi" w:hAnsiTheme="majorHAnsi" w:cstheme="majorHAnsi"/>
          <w:sz w:val="22"/>
          <w:szCs w:val="22"/>
        </w:rPr>
        <w:t>m Private Investments (UK)</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 The selection of a broker for an order is driven solely by the factors and inputs as described</w:t>
      </w:r>
      <w:r>
        <w:rPr>
          <w:rFonts w:asciiTheme="majorHAnsi" w:hAnsiTheme="majorHAnsi" w:cstheme="majorHAnsi"/>
          <w:sz w:val="22"/>
          <w:szCs w:val="22"/>
        </w:rPr>
        <w:t xml:space="preserve"> in our Order Execution Policy</w:t>
      </w:r>
    </w:p>
    <w:p w14:paraId="0D85CEBC" w14:textId="77777777" w:rsidR="00F92789" w:rsidRPr="0052479E" w:rsidRDefault="00F92789" w:rsidP="00F92789">
      <w:pPr>
        <w:jc w:val="both"/>
        <w:rPr>
          <w:rFonts w:asciiTheme="majorHAnsi" w:hAnsiTheme="majorHAnsi" w:cstheme="majorHAnsi"/>
          <w:sz w:val="22"/>
          <w:szCs w:val="22"/>
        </w:rPr>
      </w:pPr>
    </w:p>
    <w:p w14:paraId="6158B000" w14:textId="7542FB53" w:rsidR="00F92789" w:rsidRDefault="00F92789" w:rsidP="00F92789">
      <w:pPr>
        <w:jc w:val="both"/>
        <w:rPr>
          <w:rFonts w:asciiTheme="majorHAnsi" w:hAnsiTheme="majorHAnsi" w:cstheme="majorHAnsi"/>
          <w:sz w:val="22"/>
          <w:szCs w:val="22"/>
        </w:rPr>
      </w:pPr>
      <w:r w:rsidRPr="00295128">
        <w:rPr>
          <w:rFonts w:asciiTheme="majorHAnsi" w:hAnsiTheme="majorHAnsi" w:cstheme="majorHAnsi"/>
          <w:sz w:val="22"/>
          <w:szCs w:val="22"/>
        </w:rPr>
        <w:t xml:space="preserve">We have a </w:t>
      </w:r>
      <w:r w:rsidR="001527FF">
        <w:rPr>
          <w:rFonts w:asciiTheme="majorHAnsi" w:hAnsiTheme="majorHAnsi" w:cstheme="majorHAnsi"/>
          <w:sz w:val="22"/>
          <w:szCs w:val="22"/>
        </w:rPr>
        <w:t>Product</w:t>
      </w:r>
      <w:r w:rsidRPr="00295128">
        <w:rPr>
          <w:rFonts w:asciiTheme="majorHAnsi" w:hAnsiTheme="majorHAnsi" w:cstheme="majorHAnsi"/>
          <w:sz w:val="22"/>
          <w:szCs w:val="22"/>
        </w:rPr>
        <w:t xml:space="preserve"> 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w:t>
      </w:r>
      <w:r>
        <w:rPr>
          <w:rFonts w:asciiTheme="majorHAnsi" w:hAnsiTheme="majorHAnsi" w:cstheme="majorHAnsi"/>
          <w:sz w:val="22"/>
          <w:szCs w:val="22"/>
        </w:rPr>
        <w:lastRenderedPageBreak/>
        <w:t xml:space="preserve">27 report has not been proven to be a useful tool for reviewing broker and is not used in this assessment.  </w:t>
      </w:r>
    </w:p>
    <w:p w14:paraId="2264E890" w14:textId="77777777" w:rsidR="00F92789" w:rsidRDefault="00F92789" w:rsidP="00F92789">
      <w:pPr>
        <w:jc w:val="both"/>
        <w:rPr>
          <w:rFonts w:asciiTheme="majorHAnsi" w:hAnsiTheme="majorHAnsi" w:cstheme="majorHAnsi"/>
          <w:sz w:val="22"/>
          <w:szCs w:val="22"/>
        </w:rPr>
      </w:pPr>
    </w:p>
    <w:p w14:paraId="143A99C2" w14:textId="77777777" w:rsidR="00F92789" w:rsidRDefault="00F92789" w:rsidP="00F92789">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5D4FC9C8" w14:textId="77777777" w:rsidR="00684A27" w:rsidRDefault="00684A27" w:rsidP="001A2FAF">
      <w:pPr>
        <w:rPr>
          <w:rFonts w:asciiTheme="majorHAnsi" w:hAnsiTheme="majorHAnsi" w:cstheme="majorHAnsi"/>
          <w:b/>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3F624C" w14:paraId="74D2F0FD" w14:textId="77777777" w:rsidTr="0012481F">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B069B45"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7F970E" w14:textId="5935031E" w:rsidR="003F624C" w:rsidRPr="00C55BC5" w:rsidRDefault="003F624C" w:rsidP="00C55BC5">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sidR="00B04512">
              <w:rPr>
                <w:rFonts w:asciiTheme="majorHAnsi" w:hAnsiTheme="majorHAnsi" w:cstheme="majorHAnsi"/>
                <w:sz w:val="22"/>
                <w:szCs w:val="22"/>
              </w:rPr>
              <w:t>: Tick size liquidity bands 5 and 6</w:t>
            </w:r>
            <w:r w:rsidRPr="00C55BC5">
              <w:rPr>
                <w:rFonts w:asciiTheme="majorHAnsi" w:hAnsiTheme="majorHAnsi" w:cstheme="majorHAnsi"/>
                <w:sz w:val="22"/>
                <w:szCs w:val="22"/>
              </w:rPr>
              <w:t xml:space="preserve">  </w:t>
            </w:r>
          </w:p>
        </w:tc>
      </w:tr>
      <w:tr w:rsidR="003F624C" w14:paraId="1B4F51E3" w14:textId="77777777" w:rsidTr="0012481F">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B741252"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FA9BC" w14:textId="1CD3B87F" w:rsidR="003F624C" w:rsidRPr="00CF3001" w:rsidRDefault="003F624C"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12481F" w14:paraId="07432B92" w14:textId="77777777" w:rsidTr="0012481F">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053AF8" w14:textId="77777777" w:rsidR="003F624C" w:rsidRPr="00CF3001" w:rsidRDefault="003F624C" w:rsidP="00CF300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CB41D33" w14:textId="057248BF"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D116F5" w14:textId="06D07056"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6A57EB" w14:textId="0C5D6F07"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BBC4EF" w14:textId="77791663"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47EFA9C" w14:textId="77777777" w:rsidR="003F624C" w:rsidRPr="00CF3001" w:rsidRDefault="003F624C" w:rsidP="0012481F">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6612130" w14:textId="7B5CD2AA" w:rsidR="003F624C" w:rsidRPr="00CF3001" w:rsidRDefault="003F624C" w:rsidP="0012481F">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611256A"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3D8DD5" w14:textId="77777777" w:rsidR="00573C9D" w:rsidRDefault="00573C9D" w:rsidP="0012481F">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36EB40B4" w14:textId="10A16B1D" w:rsidR="00573C9D" w:rsidRPr="00F92789" w:rsidRDefault="00573C9D" w:rsidP="0012481F">
            <w:pPr>
              <w:rPr>
                <w:rFonts w:asciiTheme="majorHAnsi" w:hAnsiTheme="majorHAnsi" w:cstheme="majorHAnsi"/>
                <w:sz w:val="20"/>
                <w:szCs w:val="20"/>
              </w:rPr>
            </w:pPr>
            <w:r w:rsidRPr="00F92789">
              <w:rPr>
                <w:rFonts w:asciiTheme="majorHAnsi" w:hAnsiTheme="majorHAnsi" w:cstheme="majorHAnsi" w:hint="eastAsia"/>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1E09DC" w14:textId="29ECAE05" w:rsidR="00573C9D" w:rsidRPr="00CF3001" w:rsidRDefault="00633D24" w:rsidP="00573C9D">
            <w:pPr>
              <w:jc w:val="center"/>
              <w:rPr>
                <w:rFonts w:asciiTheme="majorHAnsi" w:hAnsiTheme="majorHAnsi" w:cstheme="majorHAnsi"/>
                <w:sz w:val="22"/>
                <w:szCs w:val="22"/>
              </w:rPr>
            </w:pPr>
            <w:r>
              <w:rPr>
                <w:rFonts w:asciiTheme="majorHAnsi" w:hAnsiTheme="majorHAnsi" w:cstheme="majorHAnsi"/>
                <w:sz w:val="22"/>
                <w:szCs w:val="22"/>
              </w:rPr>
              <w:t>54.</w:t>
            </w:r>
            <w:r w:rsidR="00AD7543">
              <w:rPr>
                <w:rFonts w:asciiTheme="majorHAnsi" w:hAnsiTheme="majorHAnsi" w:cstheme="majorHAnsi"/>
                <w:sz w:val="22"/>
                <w:szCs w:val="22"/>
              </w:rPr>
              <w:t>16</w:t>
            </w:r>
            <w:r w:rsidR="00573C9D"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D4045" w14:textId="735381B3" w:rsidR="00573C9D" w:rsidRPr="00CF3001" w:rsidRDefault="00633D24" w:rsidP="00A46C9D">
            <w:pPr>
              <w:jc w:val="center"/>
              <w:rPr>
                <w:rFonts w:asciiTheme="majorHAnsi" w:hAnsiTheme="majorHAnsi" w:cstheme="majorHAnsi"/>
                <w:sz w:val="22"/>
                <w:szCs w:val="22"/>
              </w:rPr>
            </w:pPr>
            <w:r>
              <w:rPr>
                <w:rFonts w:asciiTheme="majorHAnsi" w:hAnsiTheme="majorHAnsi" w:cstheme="majorHAnsi"/>
                <w:sz w:val="22"/>
                <w:szCs w:val="22"/>
              </w:rPr>
              <w:t>1</w:t>
            </w:r>
            <w:r w:rsidR="00AD7543">
              <w:rPr>
                <w:rFonts w:asciiTheme="majorHAnsi" w:hAnsiTheme="majorHAnsi" w:cstheme="majorHAnsi"/>
                <w:sz w:val="22"/>
                <w:szCs w:val="22"/>
              </w:rPr>
              <w:t>0.05</w:t>
            </w:r>
            <w:r w:rsidR="00573C9D"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4780F1" w14:textId="22C39AF9" w:rsidR="00573C9D" w:rsidRPr="00CF3001" w:rsidRDefault="00573C9D" w:rsidP="00A4345B">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392A6A5A" w14:textId="451D0691"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2B3EDF81" w14:textId="0591C6CA" w:rsidR="00573C9D" w:rsidRPr="00CF3001" w:rsidRDefault="008574DD" w:rsidP="003F624C">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6645DD26"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43FAE784" w14:textId="77777777" w:rsidR="00633D24" w:rsidRPr="001A2FAF" w:rsidRDefault="00633D24" w:rsidP="00633D24">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7AD52D45" w14:textId="0B907EDC" w:rsidR="00573C9D" w:rsidRPr="00CF3001" w:rsidRDefault="00633D24" w:rsidP="00633D24">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F36A122" w14:textId="385FC898" w:rsidR="00573C9D" w:rsidRPr="00CF3001" w:rsidRDefault="00AD7543" w:rsidP="003F624C">
            <w:pPr>
              <w:jc w:val="center"/>
              <w:rPr>
                <w:rFonts w:asciiTheme="majorHAnsi" w:hAnsiTheme="majorHAnsi" w:cstheme="majorHAnsi"/>
                <w:sz w:val="22"/>
                <w:szCs w:val="22"/>
              </w:rPr>
            </w:pPr>
            <w:r>
              <w:rPr>
                <w:rFonts w:asciiTheme="majorHAnsi" w:hAnsiTheme="majorHAnsi" w:cstheme="majorHAnsi"/>
                <w:sz w:val="22"/>
                <w:szCs w:val="22"/>
              </w:rPr>
              <w:t>30.14</w:t>
            </w:r>
            <w:r w:rsidR="00573C9D"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DD072F0" w14:textId="7984F50F" w:rsidR="00573C9D" w:rsidRPr="00CF3001" w:rsidRDefault="00633D24" w:rsidP="003F624C">
            <w:pPr>
              <w:jc w:val="center"/>
              <w:rPr>
                <w:rFonts w:asciiTheme="majorHAnsi" w:hAnsiTheme="majorHAnsi" w:cstheme="majorHAnsi"/>
                <w:sz w:val="22"/>
                <w:szCs w:val="22"/>
              </w:rPr>
            </w:pPr>
            <w:r>
              <w:rPr>
                <w:rFonts w:asciiTheme="majorHAnsi" w:hAnsiTheme="majorHAnsi" w:cstheme="majorHAnsi"/>
                <w:sz w:val="22"/>
                <w:szCs w:val="22"/>
              </w:rPr>
              <w:t>3</w:t>
            </w:r>
            <w:r w:rsidR="00AD7543">
              <w:rPr>
                <w:rFonts w:asciiTheme="majorHAnsi" w:hAnsiTheme="majorHAnsi" w:cstheme="majorHAnsi"/>
                <w:sz w:val="22"/>
                <w:szCs w:val="22"/>
              </w:rPr>
              <w:t>3.73</w:t>
            </w:r>
            <w:r w:rsidR="00573C9D"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50D63601" w14:textId="68A2DEDF"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44E2B5E1" w14:textId="4B4D0FF1" w:rsidR="00573C9D" w:rsidRPr="00CF3001" w:rsidRDefault="00573C9D" w:rsidP="003F624C">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486859B2" w14:textId="66695ED9" w:rsidR="00573C9D" w:rsidRPr="00CF3001" w:rsidRDefault="008574DD" w:rsidP="003F624C">
            <w:pPr>
              <w:jc w:val="center"/>
              <w:rPr>
                <w:rFonts w:asciiTheme="majorHAnsi" w:hAnsiTheme="majorHAnsi" w:cstheme="majorHAnsi"/>
                <w:sz w:val="22"/>
                <w:szCs w:val="22"/>
              </w:rPr>
            </w:pPr>
            <w:r>
              <w:rPr>
                <w:rFonts w:asciiTheme="majorHAnsi" w:hAnsiTheme="majorHAnsi" w:cstheme="majorHAnsi"/>
                <w:sz w:val="22"/>
                <w:szCs w:val="22"/>
              </w:rPr>
              <w:t>0%</w:t>
            </w:r>
          </w:p>
        </w:tc>
      </w:tr>
      <w:tr w:rsidR="00633D24" w14:paraId="2FD97AB4"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6FD2E0" w14:textId="77777777" w:rsidR="00633D24" w:rsidRDefault="00633D24" w:rsidP="00633D24">
            <w:pPr>
              <w:rPr>
                <w:rFonts w:asciiTheme="majorHAnsi" w:hAnsiTheme="majorHAnsi" w:cstheme="majorHAnsi"/>
                <w:sz w:val="22"/>
                <w:szCs w:val="22"/>
              </w:rPr>
            </w:pPr>
            <w:r w:rsidRPr="00CF3001">
              <w:rPr>
                <w:rFonts w:asciiTheme="majorHAnsi" w:hAnsiTheme="majorHAnsi" w:cstheme="majorHAnsi"/>
                <w:sz w:val="22"/>
                <w:szCs w:val="22"/>
              </w:rPr>
              <w:t>Winterflood Securities Limited</w:t>
            </w:r>
          </w:p>
          <w:p w14:paraId="2141F2B1" w14:textId="29F9B79D" w:rsidR="00633D24" w:rsidRPr="00CF3001" w:rsidRDefault="00633D24" w:rsidP="00633D24">
            <w:pPr>
              <w:rPr>
                <w:rFonts w:asciiTheme="majorHAnsi" w:hAnsiTheme="majorHAnsi" w:cstheme="majorHAnsi"/>
                <w:sz w:val="22"/>
                <w:szCs w:val="22"/>
              </w:rPr>
            </w:pPr>
            <w:r w:rsidRPr="00F92789">
              <w:rPr>
                <w:rFonts w:asciiTheme="majorHAnsi" w:hAnsiTheme="majorHAnsi" w:cstheme="majorHAnsi" w:hint="eastAsia"/>
                <w:sz w:val="20"/>
                <w:szCs w:val="20"/>
              </w:rPr>
              <w:t>LEI Code 8BRUP6V1DX3PIG2R0745</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A083BC0" w14:textId="7ABD968A" w:rsidR="00633D24" w:rsidRPr="00CF3001" w:rsidRDefault="00633D24" w:rsidP="00633D24">
            <w:pPr>
              <w:jc w:val="center"/>
              <w:rPr>
                <w:rFonts w:asciiTheme="majorHAnsi" w:hAnsiTheme="majorHAnsi" w:cstheme="majorHAnsi"/>
                <w:sz w:val="22"/>
                <w:szCs w:val="22"/>
              </w:rPr>
            </w:pPr>
            <w:r>
              <w:rPr>
                <w:rFonts w:asciiTheme="majorHAnsi" w:hAnsiTheme="majorHAnsi" w:cstheme="majorHAnsi"/>
                <w:sz w:val="22"/>
                <w:szCs w:val="22"/>
              </w:rPr>
              <w:t>15.</w:t>
            </w:r>
            <w:r w:rsidR="00AD7543">
              <w:rPr>
                <w:rFonts w:asciiTheme="majorHAnsi" w:hAnsiTheme="majorHAnsi" w:cstheme="majorHAnsi"/>
                <w:sz w:val="22"/>
                <w:szCs w:val="22"/>
              </w:rPr>
              <w:t>70</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E93195" w14:textId="236D681F" w:rsidR="00633D24" w:rsidRPr="00CF3001" w:rsidRDefault="00633D24" w:rsidP="00633D24">
            <w:pPr>
              <w:jc w:val="center"/>
              <w:rPr>
                <w:rFonts w:asciiTheme="majorHAnsi" w:hAnsiTheme="majorHAnsi" w:cstheme="majorHAnsi"/>
                <w:sz w:val="22"/>
                <w:szCs w:val="22"/>
              </w:rPr>
            </w:pPr>
            <w:r>
              <w:rPr>
                <w:rFonts w:asciiTheme="majorHAnsi" w:hAnsiTheme="majorHAnsi" w:cstheme="majorHAnsi"/>
                <w:sz w:val="22"/>
                <w:szCs w:val="22"/>
              </w:rPr>
              <w:t>5</w:t>
            </w:r>
            <w:r w:rsidR="00AD7543">
              <w:rPr>
                <w:rFonts w:asciiTheme="majorHAnsi" w:hAnsiTheme="majorHAnsi" w:cstheme="majorHAnsi"/>
                <w:sz w:val="22"/>
                <w:szCs w:val="22"/>
              </w:rPr>
              <w:t>6.22</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51FEC49" w14:textId="42F51638"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4B8671E" w14:textId="0441A48E"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1589F06" w14:textId="2BC2C4ED" w:rsidR="00633D24" w:rsidRPr="00CF3001" w:rsidRDefault="00633D24" w:rsidP="00633D24">
            <w:pPr>
              <w:jc w:val="center"/>
              <w:rPr>
                <w:rFonts w:asciiTheme="majorHAnsi" w:hAnsiTheme="majorHAnsi" w:cstheme="majorHAnsi"/>
                <w:sz w:val="22"/>
                <w:szCs w:val="22"/>
              </w:rPr>
            </w:pPr>
            <w:r>
              <w:rPr>
                <w:rFonts w:asciiTheme="majorHAnsi" w:hAnsiTheme="majorHAnsi" w:cstheme="majorHAnsi"/>
                <w:sz w:val="22"/>
                <w:szCs w:val="22"/>
              </w:rPr>
              <w:t>0%</w:t>
            </w:r>
          </w:p>
        </w:tc>
      </w:tr>
      <w:tr w:rsidR="00633D24" w14:paraId="17C5E768"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A5C5AF" w14:textId="579E436E" w:rsidR="00633D24" w:rsidRPr="00CF3001" w:rsidRDefault="00633D24" w:rsidP="00633D24">
            <w:pP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9DD03E" w14:textId="1FADB57F" w:rsidR="00633D24" w:rsidRDefault="00633D24" w:rsidP="00633D24">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4ADC87" w14:textId="1A007C4F" w:rsidR="00633D24" w:rsidRPr="00CF3001" w:rsidRDefault="00633D24" w:rsidP="00633D24">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FAE024" w14:textId="7E3843DD"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75884B" w14:textId="32A4CD49"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FA5619" w14:textId="0B19A72E"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r>
      <w:tr w:rsidR="00633D24" w14:paraId="6215CC7B"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3D464F2" w14:textId="670BBAD1" w:rsidR="00633D24" w:rsidRPr="00CF3001" w:rsidRDefault="00633D24" w:rsidP="00633D24">
            <w:pP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316D1B" w14:textId="661897F6" w:rsidR="00633D24" w:rsidRDefault="00633D24" w:rsidP="00633D24">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13392CD" w14:textId="588A9580" w:rsidR="00633D24" w:rsidRPr="00CF3001" w:rsidRDefault="00633D24" w:rsidP="00633D24">
            <w:pPr>
              <w:jc w:val="center"/>
              <w:rPr>
                <w:rFonts w:asciiTheme="majorHAnsi" w:hAnsiTheme="majorHAnsi" w:cstheme="majorHAnsi"/>
                <w:sz w:val="22"/>
                <w:szCs w:val="22"/>
              </w:rPr>
            </w:pPr>
            <w:r w:rsidRPr="00BF43D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93B531" w14:textId="4F907DBB"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9ACFCC" w14:textId="77642622"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22AB64" w14:textId="722F41E9" w:rsidR="00633D24" w:rsidRPr="00CF3001" w:rsidRDefault="00633D24" w:rsidP="00633D24">
            <w:pPr>
              <w:jc w:val="center"/>
              <w:rPr>
                <w:rFonts w:asciiTheme="majorHAnsi" w:hAnsiTheme="majorHAnsi" w:cstheme="majorHAnsi"/>
                <w:sz w:val="22"/>
                <w:szCs w:val="22"/>
              </w:rPr>
            </w:pPr>
            <w:r w:rsidRPr="00FB0AF8">
              <w:rPr>
                <w:rFonts w:asciiTheme="majorHAnsi" w:hAnsiTheme="majorHAnsi" w:cstheme="majorHAnsi"/>
                <w:sz w:val="22"/>
                <w:szCs w:val="22"/>
              </w:rPr>
              <w:t>n/a</w:t>
            </w:r>
          </w:p>
        </w:tc>
      </w:tr>
    </w:tbl>
    <w:p w14:paraId="3C2B7A7B" w14:textId="77777777" w:rsidR="003F624C" w:rsidRDefault="003F624C" w:rsidP="001A2FAF">
      <w:pPr>
        <w:spacing w:before="100" w:beforeAutospacing="1" w:after="100" w:afterAutospacing="1"/>
        <w:jc w:val="both"/>
        <w:rPr>
          <w:rFonts w:asciiTheme="majorHAnsi" w:hAnsiTheme="majorHAnsi" w:cstheme="majorHAnsi"/>
          <w:sz w:val="22"/>
          <w:szCs w:val="22"/>
        </w:rPr>
      </w:pPr>
    </w:p>
    <w:p w14:paraId="0A570FA6" w14:textId="77777777" w:rsidR="005B2A97" w:rsidRDefault="005B2A97" w:rsidP="005B2A97">
      <w:pPr>
        <w:spacing w:before="100" w:beforeAutospacing="1" w:after="100" w:afterAutospacing="1"/>
        <w:jc w:val="both"/>
        <w:rPr>
          <w:rFonts w:asciiTheme="majorHAnsi" w:hAnsiTheme="majorHAnsi" w:cstheme="majorHAnsi"/>
          <w:sz w:val="22"/>
          <w:szCs w:val="22"/>
        </w:rPr>
      </w:pPr>
    </w:p>
    <w:p w14:paraId="3064A954" w14:textId="1B50EB14" w:rsidR="005B2A97" w:rsidRPr="00371C90" w:rsidRDefault="005B2A97">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20C0DB5A" w14:textId="77777777" w:rsidR="005B2A97" w:rsidRPr="00371C90" w:rsidRDefault="005B2A97" w:rsidP="001A2FAF">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21ABCB63" w14:textId="77777777" w:rsidR="005B2A97" w:rsidRPr="00371C90" w:rsidRDefault="005B2A97" w:rsidP="001A2FAF">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56A65793" w14:textId="77777777" w:rsidR="005B2A97" w:rsidRPr="00371C90" w:rsidRDefault="005B2A97" w:rsidP="001A2FAF">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467A8E99" w14:textId="77777777" w:rsidR="005B2A97" w:rsidRPr="00371C90" w:rsidRDefault="005B2A97" w:rsidP="001A2FAF">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66BD6882" w14:textId="77777777" w:rsidR="005B2A97" w:rsidRDefault="005B2A97" w:rsidP="001A2FAF">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0B5F36C5" w14:textId="77777777" w:rsidR="005B2A97" w:rsidRDefault="005B2A97">
      <w:pPr>
        <w:pStyle w:val="ListParagraph"/>
        <w:spacing w:before="100" w:beforeAutospacing="1" w:after="100" w:afterAutospacing="1"/>
        <w:ind w:left="329"/>
        <w:jc w:val="both"/>
        <w:rPr>
          <w:rFonts w:asciiTheme="majorHAnsi" w:hAnsiTheme="majorHAnsi" w:cstheme="majorHAnsi"/>
          <w:sz w:val="22"/>
          <w:szCs w:val="22"/>
        </w:rPr>
      </w:pPr>
    </w:p>
    <w:p w14:paraId="5EC4DA7D" w14:textId="77777777" w:rsidR="005B2A97" w:rsidRDefault="005B2A97">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40FECCB8" w14:textId="77777777" w:rsidR="005B2A97" w:rsidRDefault="005B2A97">
      <w:pPr>
        <w:pStyle w:val="ListParagraph"/>
        <w:spacing w:before="100" w:beforeAutospacing="1" w:after="100" w:afterAutospacing="1"/>
        <w:ind w:left="329"/>
        <w:jc w:val="both"/>
        <w:rPr>
          <w:rFonts w:asciiTheme="majorHAnsi" w:hAnsiTheme="majorHAnsi" w:cstheme="majorHAnsi"/>
          <w:sz w:val="22"/>
          <w:szCs w:val="22"/>
        </w:rPr>
      </w:pPr>
    </w:p>
    <w:p w14:paraId="0A008A7C" w14:textId="18234878" w:rsidR="005B2A97" w:rsidRPr="001A2FAF" w:rsidRDefault="005B2A97" w:rsidP="001A2FAF">
      <w:pPr>
        <w:pStyle w:val="ListParagraph"/>
        <w:numPr>
          <w:ilvl w:val="0"/>
          <w:numId w:val="37"/>
        </w:numPr>
        <w:spacing w:before="100" w:beforeAutospacing="1" w:after="100" w:afterAutospacing="1"/>
        <w:jc w:val="both"/>
        <w:rPr>
          <w:rFonts w:asciiTheme="majorHAnsi" w:hAnsiTheme="majorHAnsi" w:cstheme="majorHAnsi"/>
          <w:sz w:val="22"/>
          <w:szCs w:val="22"/>
        </w:rPr>
      </w:pPr>
      <w:r w:rsidRPr="001A2FAF">
        <w:rPr>
          <w:rFonts w:asciiTheme="majorHAnsi" w:hAnsiTheme="majorHAnsi" w:cstheme="majorHAnsi"/>
          <w:sz w:val="22"/>
          <w:szCs w:val="22"/>
        </w:rPr>
        <w:t>Price and cost</w:t>
      </w:r>
    </w:p>
    <w:p w14:paraId="51CD7024" w14:textId="77777777" w:rsidR="005B2A97" w:rsidRPr="001A2FAF" w:rsidRDefault="005B2A97" w:rsidP="001A2FAF">
      <w:pPr>
        <w:pStyle w:val="ListParagraph"/>
        <w:numPr>
          <w:ilvl w:val="0"/>
          <w:numId w:val="37"/>
        </w:numPr>
        <w:spacing w:before="100" w:beforeAutospacing="1" w:after="100" w:afterAutospacing="1"/>
        <w:jc w:val="both"/>
        <w:rPr>
          <w:rFonts w:asciiTheme="majorHAnsi" w:hAnsiTheme="majorHAnsi" w:cstheme="majorHAnsi"/>
          <w:sz w:val="22"/>
          <w:szCs w:val="22"/>
        </w:rPr>
      </w:pPr>
      <w:r w:rsidRPr="001A2FAF">
        <w:rPr>
          <w:rFonts w:asciiTheme="majorHAnsi" w:hAnsiTheme="majorHAnsi" w:cstheme="majorHAnsi"/>
          <w:sz w:val="22"/>
          <w:szCs w:val="22"/>
        </w:rPr>
        <w:t>Likelihood of execution</w:t>
      </w:r>
    </w:p>
    <w:p w14:paraId="705BC620" w14:textId="2761B567" w:rsidR="007E6B9A" w:rsidRDefault="00371C90" w:rsidP="003F624C">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A790981" w14:textId="406E98F1" w:rsidR="00042103" w:rsidRDefault="00042103" w:rsidP="003F624C">
      <w:pPr>
        <w:ind w:left="-709"/>
        <w:jc w:val="both"/>
        <w:rPr>
          <w:rFonts w:asciiTheme="majorHAnsi" w:hAnsiTheme="majorHAnsi" w:cstheme="majorHAnsi"/>
          <w:sz w:val="22"/>
          <w:szCs w:val="22"/>
        </w:rPr>
      </w:pPr>
    </w:p>
    <w:p w14:paraId="04B53E49" w14:textId="77777777" w:rsidR="00F76488" w:rsidRDefault="00F76488" w:rsidP="00723AF5">
      <w:pPr>
        <w:jc w:val="both"/>
        <w:rPr>
          <w:rFonts w:asciiTheme="majorHAnsi" w:hAnsiTheme="majorHAnsi" w:cstheme="majorHAnsi"/>
          <w:sz w:val="22"/>
          <w:szCs w:val="22"/>
        </w:rPr>
      </w:pPr>
    </w:p>
    <w:p w14:paraId="360E1EDF" w14:textId="2E1D3763" w:rsidR="007E6B9A" w:rsidRDefault="007E6B9A" w:rsidP="00723AF5">
      <w:pPr>
        <w:jc w:val="both"/>
        <w:rPr>
          <w:rFonts w:asciiTheme="majorHAnsi" w:hAnsiTheme="majorHAnsi" w:cstheme="majorHAnsi"/>
          <w:sz w:val="22"/>
          <w:szCs w:val="22"/>
        </w:rPr>
      </w:pPr>
    </w:p>
    <w:p w14:paraId="5A4AB528" w14:textId="77777777" w:rsidR="00B04512" w:rsidRDefault="00B04512" w:rsidP="001A2FAF">
      <w:pPr>
        <w:rPr>
          <w:rFonts w:asciiTheme="majorHAnsi" w:hAnsiTheme="majorHAnsi" w:cstheme="majorHAnsi"/>
          <w:b/>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B04512" w14:paraId="6799030F"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F14A608"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6326D54" w14:textId="7FF748EB" w:rsidR="00B04512" w:rsidRPr="00C55BC5" w:rsidRDefault="00B04512" w:rsidP="006E55AB">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3 and 4</w:t>
            </w:r>
            <w:r w:rsidRPr="00C55BC5">
              <w:rPr>
                <w:rFonts w:asciiTheme="majorHAnsi" w:hAnsiTheme="majorHAnsi" w:cstheme="majorHAnsi"/>
                <w:sz w:val="22"/>
                <w:szCs w:val="22"/>
              </w:rPr>
              <w:t xml:space="preserve">  </w:t>
            </w:r>
          </w:p>
        </w:tc>
      </w:tr>
      <w:tr w:rsidR="00B04512" w14:paraId="5070316B"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4174497"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AF5582" w14:textId="20A07452" w:rsidR="00B04512" w:rsidRPr="00CF3001" w:rsidRDefault="00B04512"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B04512" w14:paraId="6F0AB88E"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24C3DD"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7AE80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23257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600092"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02B46F"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9D0E689" w14:textId="77777777" w:rsidR="00B04512" w:rsidRPr="00CF3001" w:rsidRDefault="00B04512"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E28D1F0"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462867BD"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570DA9" w14:textId="77777777" w:rsidR="00573C9D" w:rsidRDefault="00573C9D" w:rsidP="006E55AB">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6BB3B96D" w14:textId="6304B79C" w:rsidR="00573C9D" w:rsidRPr="00CF3001" w:rsidRDefault="00573C9D" w:rsidP="00573C9D">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DD6ACE" w14:textId="517C8E47" w:rsidR="00573C9D" w:rsidRPr="00CF3001" w:rsidRDefault="00BF256C" w:rsidP="006E55AB">
            <w:pPr>
              <w:jc w:val="center"/>
              <w:rPr>
                <w:rFonts w:asciiTheme="majorHAnsi" w:hAnsiTheme="majorHAnsi" w:cstheme="majorHAnsi"/>
                <w:sz w:val="22"/>
                <w:szCs w:val="22"/>
              </w:rPr>
            </w:pPr>
            <w:r>
              <w:rPr>
                <w:rFonts w:asciiTheme="majorHAnsi" w:hAnsiTheme="majorHAnsi" w:cstheme="majorHAnsi"/>
                <w:sz w:val="22"/>
                <w:szCs w:val="22"/>
              </w:rPr>
              <w:t>57.</w:t>
            </w:r>
            <w:r w:rsidR="003304B2">
              <w:rPr>
                <w:rFonts w:asciiTheme="majorHAnsi" w:hAnsiTheme="majorHAnsi" w:cstheme="majorHAnsi"/>
                <w:sz w:val="22"/>
                <w:szCs w:val="22"/>
              </w:rPr>
              <w:t>71</w:t>
            </w:r>
            <w:r w:rsidR="00573C9D"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7435F" w14:textId="3B0668BB" w:rsidR="00573C9D" w:rsidRPr="00CF3001" w:rsidRDefault="003304B2" w:rsidP="006E55AB">
            <w:pPr>
              <w:jc w:val="center"/>
              <w:rPr>
                <w:rFonts w:asciiTheme="majorHAnsi" w:hAnsiTheme="majorHAnsi" w:cstheme="majorHAnsi"/>
                <w:sz w:val="22"/>
                <w:szCs w:val="22"/>
              </w:rPr>
            </w:pPr>
            <w:r>
              <w:rPr>
                <w:rFonts w:asciiTheme="majorHAnsi" w:hAnsiTheme="majorHAnsi" w:cstheme="majorHAnsi"/>
                <w:sz w:val="22"/>
                <w:szCs w:val="22"/>
              </w:rPr>
              <w:t>14.06</w:t>
            </w:r>
            <w:r w:rsidR="00573C9D"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BC04184" w14:textId="61955B17"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9E5305" w14:textId="517F600C" w:rsidR="00573C9D" w:rsidRPr="00CF3001" w:rsidRDefault="00573C9D" w:rsidP="006E55AB">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49E3E080" w14:textId="162766C9"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BF256C" w14:paraId="31D59CC2"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299A643" w14:textId="77777777" w:rsidR="003304B2" w:rsidRPr="001A2FAF" w:rsidRDefault="003304B2" w:rsidP="003304B2">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5A4C650E" w14:textId="0B8C4EE1" w:rsidR="00BF256C" w:rsidRPr="00CF3001" w:rsidRDefault="003304B2" w:rsidP="003304B2">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FCDBBAD" w14:textId="08A649C6"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2</w:t>
            </w:r>
            <w:r w:rsidR="003304B2">
              <w:rPr>
                <w:rFonts w:asciiTheme="majorHAnsi" w:hAnsiTheme="majorHAnsi" w:cstheme="majorHAnsi"/>
                <w:sz w:val="22"/>
                <w:szCs w:val="22"/>
              </w:rPr>
              <w:t>9.40</w:t>
            </w:r>
            <w:r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2A5C3C6" w14:textId="54458FD2" w:rsidR="00BF256C" w:rsidRPr="00CF3001" w:rsidRDefault="003304B2" w:rsidP="00BF256C">
            <w:pPr>
              <w:jc w:val="center"/>
              <w:rPr>
                <w:rFonts w:asciiTheme="majorHAnsi" w:hAnsiTheme="majorHAnsi" w:cstheme="majorHAnsi"/>
                <w:sz w:val="22"/>
                <w:szCs w:val="22"/>
              </w:rPr>
            </w:pPr>
            <w:r>
              <w:rPr>
                <w:rFonts w:asciiTheme="majorHAnsi" w:hAnsiTheme="majorHAnsi" w:cstheme="majorHAnsi"/>
                <w:sz w:val="22"/>
                <w:szCs w:val="22"/>
              </w:rPr>
              <w:t>32.63</w:t>
            </w:r>
            <w:r w:rsidR="00BF256C"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3C545A4C" w14:textId="23005BBC"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0B18E782" w14:textId="44F84CA9"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55762E28" w14:textId="6BA3E7F6"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0%</w:t>
            </w:r>
          </w:p>
        </w:tc>
      </w:tr>
      <w:tr w:rsidR="003304B2" w14:paraId="03931244"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D9214B" w14:textId="77777777" w:rsidR="003304B2" w:rsidRDefault="003304B2" w:rsidP="003304B2">
            <w:pPr>
              <w:rPr>
                <w:rFonts w:asciiTheme="majorHAnsi" w:hAnsiTheme="majorHAnsi" w:cstheme="majorHAnsi"/>
                <w:sz w:val="22"/>
                <w:szCs w:val="22"/>
              </w:rPr>
            </w:pPr>
            <w:r w:rsidRPr="00CF3001">
              <w:rPr>
                <w:rFonts w:asciiTheme="majorHAnsi" w:hAnsiTheme="majorHAnsi" w:cstheme="majorHAnsi"/>
                <w:sz w:val="22"/>
                <w:szCs w:val="22"/>
              </w:rPr>
              <w:t>Winterflood Securities Limited</w:t>
            </w:r>
          </w:p>
          <w:p w14:paraId="694DE378" w14:textId="4CDF0ACB" w:rsidR="003304B2" w:rsidRPr="00CF3001" w:rsidRDefault="003304B2" w:rsidP="003304B2">
            <w:pPr>
              <w:jc w:val="cente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1C6276" w14:textId="2EA27AA4" w:rsidR="003304B2" w:rsidRPr="00CF3001" w:rsidRDefault="003304B2" w:rsidP="003304B2">
            <w:pPr>
              <w:jc w:val="center"/>
              <w:rPr>
                <w:rFonts w:asciiTheme="majorHAnsi" w:hAnsiTheme="majorHAnsi" w:cstheme="majorHAnsi"/>
                <w:sz w:val="22"/>
                <w:szCs w:val="22"/>
              </w:rPr>
            </w:pPr>
            <w:r>
              <w:rPr>
                <w:rFonts w:asciiTheme="majorHAnsi" w:hAnsiTheme="majorHAnsi" w:cstheme="majorHAnsi"/>
                <w:sz w:val="22"/>
                <w:szCs w:val="22"/>
              </w:rPr>
              <w:t>15.89</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7FA29FA" w14:textId="2EBAA7F0" w:rsidR="003304B2" w:rsidRPr="00CF3001" w:rsidRDefault="003304B2" w:rsidP="003304B2">
            <w:pPr>
              <w:jc w:val="center"/>
              <w:rPr>
                <w:rFonts w:asciiTheme="majorHAnsi" w:hAnsiTheme="majorHAnsi" w:cstheme="majorHAnsi"/>
                <w:sz w:val="22"/>
                <w:szCs w:val="22"/>
              </w:rPr>
            </w:pPr>
            <w:r>
              <w:rPr>
                <w:rFonts w:asciiTheme="majorHAnsi" w:hAnsiTheme="majorHAnsi" w:cstheme="majorHAnsi"/>
                <w:sz w:val="22"/>
                <w:szCs w:val="22"/>
              </w:rPr>
              <w:t>53.32</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3291EE1" w14:textId="1599FD69" w:rsidR="003304B2" w:rsidRPr="00CF3001" w:rsidRDefault="003304B2" w:rsidP="003304B2">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B928D63" w14:textId="175889C7" w:rsidR="003304B2" w:rsidRPr="00CF3001" w:rsidRDefault="003304B2" w:rsidP="003304B2">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046B4CF" w14:textId="35CECD87" w:rsidR="003304B2" w:rsidRPr="00CF3001" w:rsidRDefault="003304B2" w:rsidP="003304B2">
            <w:pPr>
              <w:jc w:val="center"/>
              <w:rPr>
                <w:rFonts w:asciiTheme="majorHAnsi" w:hAnsiTheme="majorHAnsi" w:cstheme="majorHAnsi"/>
                <w:sz w:val="22"/>
                <w:szCs w:val="22"/>
              </w:rPr>
            </w:pPr>
            <w:r>
              <w:rPr>
                <w:rFonts w:asciiTheme="majorHAnsi" w:hAnsiTheme="majorHAnsi" w:cstheme="majorHAnsi"/>
                <w:sz w:val="22"/>
                <w:szCs w:val="22"/>
              </w:rPr>
              <w:t>0%</w:t>
            </w:r>
          </w:p>
        </w:tc>
      </w:tr>
      <w:tr w:rsidR="00BF256C" w:rsidRPr="00F965BB" w14:paraId="4976B5B3"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CBC628B" w14:textId="1B64F6E4" w:rsidR="00BF256C" w:rsidRPr="00CF3001" w:rsidRDefault="003304B2" w:rsidP="003304B2">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1D29D7" w14:textId="0B2CA73A" w:rsidR="00BF256C"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3DAF18D" w14:textId="4B1806B4"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717CE6" w14:textId="09E7CBE3"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D152C1" w14:textId="1C857FDC"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608FBB" w14:textId="4886DDD5"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r>
      <w:tr w:rsidR="00BF256C" w:rsidRPr="00F965BB" w14:paraId="0962C215"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3524F2" w14:textId="3372E5FC"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1D70A31" w14:textId="59EDD2BB" w:rsidR="00BF256C"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AECF12" w14:textId="13BA3624"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4AB423" w14:textId="61A0320D"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ED914F" w14:textId="59AD004D"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EC616F" w14:textId="5CF1732C" w:rsidR="00BF256C" w:rsidRPr="00CF3001" w:rsidRDefault="00BF256C" w:rsidP="00BF256C">
            <w:pPr>
              <w:jc w:val="center"/>
              <w:rPr>
                <w:rFonts w:asciiTheme="majorHAnsi" w:hAnsiTheme="majorHAnsi" w:cstheme="majorHAnsi"/>
                <w:sz w:val="22"/>
                <w:szCs w:val="22"/>
              </w:rPr>
            </w:pPr>
            <w:r w:rsidRPr="00E7270D">
              <w:rPr>
                <w:rFonts w:asciiTheme="majorHAnsi" w:hAnsiTheme="majorHAnsi" w:cstheme="majorHAnsi"/>
                <w:sz w:val="22"/>
                <w:szCs w:val="22"/>
              </w:rPr>
              <w:t>n/a</w:t>
            </w:r>
          </w:p>
        </w:tc>
      </w:tr>
    </w:tbl>
    <w:p w14:paraId="3C305C7F" w14:textId="77777777" w:rsidR="00B04512" w:rsidRDefault="00B04512" w:rsidP="00F92789">
      <w:pPr>
        <w:rPr>
          <w:rFonts w:asciiTheme="majorHAnsi" w:hAnsiTheme="majorHAnsi" w:cstheme="majorHAnsi"/>
          <w:sz w:val="22"/>
          <w:szCs w:val="22"/>
        </w:rPr>
      </w:pPr>
    </w:p>
    <w:p w14:paraId="51F62930" w14:textId="77777777" w:rsidR="005B2A97" w:rsidRPr="00371C90" w:rsidRDefault="005B2A97" w:rsidP="005B2A97">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B96F54B" w14:textId="77777777" w:rsidR="005B2A97" w:rsidRPr="00371C90" w:rsidRDefault="005B2A97" w:rsidP="005B2A97">
      <w:pPr>
        <w:pStyle w:val="ListParagraph"/>
        <w:numPr>
          <w:ilvl w:val="0"/>
          <w:numId w:val="31"/>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194D3CCD" w14:textId="77777777" w:rsidR="005B2A97" w:rsidRPr="00371C90" w:rsidRDefault="005B2A97" w:rsidP="005B2A97">
      <w:pPr>
        <w:pStyle w:val="ListParagraph"/>
        <w:numPr>
          <w:ilvl w:val="0"/>
          <w:numId w:val="3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4322565F" w14:textId="77777777" w:rsidR="005B2A97" w:rsidRPr="00371C90" w:rsidRDefault="005B2A97" w:rsidP="005B2A97">
      <w:pPr>
        <w:pStyle w:val="ListParagraph"/>
        <w:numPr>
          <w:ilvl w:val="0"/>
          <w:numId w:val="3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7584272" w14:textId="77777777" w:rsidR="005B2A97" w:rsidRPr="00371C90" w:rsidRDefault="005B2A97" w:rsidP="005B2A97">
      <w:pPr>
        <w:pStyle w:val="ListParagraph"/>
        <w:numPr>
          <w:ilvl w:val="0"/>
          <w:numId w:val="3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2FF9D147" w14:textId="77777777" w:rsidR="005B2A97" w:rsidRDefault="005B2A97" w:rsidP="005B2A97">
      <w:pPr>
        <w:pStyle w:val="ListParagraph"/>
        <w:numPr>
          <w:ilvl w:val="0"/>
          <w:numId w:val="31"/>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1DDE5DAC"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76BC50E5"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317850FC"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6FC7ADAF" w14:textId="77777777" w:rsidR="005B2A97" w:rsidRDefault="005B2A97" w:rsidP="001A2FAF">
      <w:pPr>
        <w:pStyle w:val="ListParagraph"/>
        <w:numPr>
          <w:ilvl w:val="0"/>
          <w:numId w:val="38"/>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5A5F001E" w14:textId="77777777" w:rsidR="005B2A97" w:rsidRPr="00E2094A" w:rsidRDefault="005B2A97" w:rsidP="001A2FAF">
      <w:pPr>
        <w:pStyle w:val="ListParagraph"/>
        <w:numPr>
          <w:ilvl w:val="0"/>
          <w:numId w:val="38"/>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7E75FF66" w14:textId="77777777" w:rsidR="00B04512" w:rsidRDefault="00B04512" w:rsidP="00B04512">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FD3E6F1" w14:textId="77777777" w:rsidR="00B04512" w:rsidRDefault="00B04512" w:rsidP="00B04512">
      <w:pPr>
        <w:ind w:left="-709"/>
        <w:jc w:val="both"/>
        <w:rPr>
          <w:rFonts w:asciiTheme="majorHAnsi" w:hAnsiTheme="majorHAnsi" w:cstheme="majorHAnsi"/>
          <w:sz w:val="22"/>
          <w:szCs w:val="22"/>
        </w:rPr>
      </w:pPr>
    </w:p>
    <w:p w14:paraId="7FCA5E0D" w14:textId="118711E3" w:rsidR="00042103" w:rsidRDefault="00042103" w:rsidP="00536837">
      <w:pPr>
        <w:jc w:val="center"/>
        <w:rPr>
          <w:rFonts w:asciiTheme="majorHAnsi" w:hAnsiTheme="majorHAnsi" w:cstheme="majorHAnsi"/>
          <w:sz w:val="22"/>
          <w:szCs w:val="22"/>
        </w:rPr>
      </w:pPr>
    </w:p>
    <w:p w14:paraId="05C5DA01" w14:textId="1249161B" w:rsidR="00042103" w:rsidRDefault="00042103" w:rsidP="00536837">
      <w:pPr>
        <w:jc w:val="center"/>
        <w:rPr>
          <w:rFonts w:asciiTheme="majorHAnsi" w:hAnsiTheme="majorHAnsi" w:cstheme="majorHAnsi"/>
          <w:sz w:val="22"/>
          <w:szCs w:val="22"/>
        </w:rPr>
      </w:pPr>
    </w:p>
    <w:p w14:paraId="18E1D710" w14:textId="2B043EB4" w:rsidR="00042103" w:rsidRDefault="00042103" w:rsidP="00536837">
      <w:pPr>
        <w:jc w:val="center"/>
        <w:rPr>
          <w:rFonts w:asciiTheme="majorHAnsi" w:hAnsiTheme="majorHAnsi" w:cstheme="majorHAnsi"/>
          <w:sz w:val="22"/>
          <w:szCs w:val="22"/>
        </w:rPr>
      </w:pPr>
    </w:p>
    <w:p w14:paraId="3DE35B3E" w14:textId="77777777" w:rsidR="0063275C" w:rsidRDefault="0063275C" w:rsidP="00536837">
      <w:pPr>
        <w:jc w:val="center"/>
        <w:rPr>
          <w:rFonts w:asciiTheme="majorHAnsi" w:hAnsiTheme="majorHAnsi" w:cstheme="majorHAnsi"/>
          <w:sz w:val="22"/>
          <w:szCs w:val="22"/>
        </w:rPr>
      </w:pPr>
    </w:p>
    <w:p w14:paraId="56301FE1" w14:textId="77777777" w:rsidR="0063275C" w:rsidRDefault="0063275C" w:rsidP="00536837">
      <w:pPr>
        <w:jc w:val="center"/>
        <w:rPr>
          <w:rFonts w:asciiTheme="majorHAnsi" w:hAnsiTheme="majorHAnsi" w:cstheme="majorHAnsi"/>
          <w:sz w:val="22"/>
          <w:szCs w:val="22"/>
        </w:rPr>
      </w:pPr>
    </w:p>
    <w:p w14:paraId="0F43EA16" w14:textId="77777777" w:rsidR="0063275C" w:rsidRDefault="0063275C" w:rsidP="00536837">
      <w:pPr>
        <w:jc w:val="center"/>
        <w:rPr>
          <w:rFonts w:asciiTheme="majorHAnsi" w:hAnsiTheme="majorHAnsi" w:cstheme="majorHAnsi"/>
          <w:sz w:val="22"/>
          <w:szCs w:val="22"/>
        </w:rPr>
      </w:pPr>
    </w:p>
    <w:p w14:paraId="3B77FE52" w14:textId="77777777" w:rsidR="0063275C" w:rsidRDefault="0063275C" w:rsidP="00536837">
      <w:pPr>
        <w:jc w:val="center"/>
        <w:rPr>
          <w:rFonts w:asciiTheme="majorHAnsi" w:hAnsiTheme="majorHAnsi" w:cstheme="majorHAnsi"/>
          <w:sz w:val="22"/>
          <w:szCs w:val="22"/>
        </w:rPr>
      </w:pPr>
    </w:p>
    <w:p w14:paraId="05646FB4" w14:textId="77777777" w:rsidR="0063275C" w:rsidRDefault="0063275C" w:rsidP="00536837">
      <w:pPr>
        <w:jc w:val="center"/>
        <w:rPr>
          <w:rFonts w:asciiTheme="majorHAnsi" w:hAnsiTheme="majorHAnsi" w:cstheme="majorHAnsi"/>
          <w:sz w:val="22"/>
          <w:szCs w:val="22"/>
        </w:rPr>
      </w:pPr>
    </w:p>
    <w:p w14:paraId="111568EB" w14:textId="77777777" w:rsidR="004C6D7E" w:rsidRDefault="004C6D7E" w:rsidP="00536837">
      <w:pPr>
        <w:jc w:val="center"/>
        <w:rPr>
          <w:rFonts w:asciiTheme="majorHAnsi" w:hAnsiTheme="majorHAnsi" w:cstheme="majorHAnsi"/>
          <w:sz w:val="22"/>
          <w:szCs w:val="22"/>
        </w:rPr>
      </w:pPr>
    </w:p>
    <w:p w14:paraId="129D1D6B" w14:textId="77777777" w:rsidR="00B04512" w:rsidRDefault="00B04512" w:rsidP="00B04512">
      <w:pPr>
        <w:ind w:left="-851"/>
        <w:rPr>
          <w:rFonts w:asciiTheme="majorHAnsi" w:hAnsiTheme="majorHAnsi" w:cstheme="majorHAnsi"/>
          <w:b/>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B04512" w14:paraId="53E4955C"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07E3E14"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620658C" w14:textId="495D939B" w:rsidR="00B04512" w:rsidRPr="00C55BC5" w:rsidRDefault="00B04512" w:rsidP="006E55AB">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w:t>
            </w:r>
            <w:r w:rsidR="0063275C">
              <w:rPr>
                <w:rFonts w:asciiTheme="majorHAnsi" w:hAnsiTheme="majorHAnsi" w:cstheme="majorHAnsi"/>
                <w:sz w:val="22"/>
                <w:szCs w:val="22"/>
              </w:rPr>
              <w:t>ick size liquidity bands 1 and 2</w:t>
            </w:r>
            <w:r w:rsidRPr="00C55BC5">
              <w:rPr>
                <w:rFonts w:asciiTheme="majorHAnsi" w:hAnsiTheme="majorHAnsi" w:cstheme="majorHAnsi"/>
                <w:sz w:val="22"/>
                <w:szCs w:val="22"/>
              </w:rPr>
              <w:t xml:space="preserve">  </w:t>
            </w:r>
          </w:p>
        </w:tc>
      </w:tr>
      <w:tr w:rsidR="00B04512" w14:paraId="49EE2A7A"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42BAAD"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002091" w14:textId="25F48351" w:rsidR="00B04512" w:rsidRPr="00CF3001" w:rsidRDefault="00B04512"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B04512" w14:paraId="6DAB80C0"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E065F5" w14:textId="77777777" w:rsidR="00B04512" w:rsidRPr="00CF3001" w:rsidRDefault="00B04512"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BB44776"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266371"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1C1BD45"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86C408"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4D1B10B8" w14:textId="77777777" w:rsidR="00B04512" w:rsidRPr="00CF3001" w:rsidRDefault="00B04512"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5D3AF5" w14:textId="77777777" w:rsidR="00B04512" w:rsidRPr="00CF3001" w:rsidRDefault="00B04512"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B72C069" w14:textId="77777777" w:rsidTr="00F92789">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7724FB" w14:textId="77777777" w:rsidR="00573C9D" w:rsidRDefault="00573C9D" w:rsidP="006E55AB">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60D2AC4A" w14:textId="4704BCB4" w:rsidR="00573C9D" w:rsidRPr="00CF3001" w:rsidRDefault="00573C9D" w:rsidP="006E55AB">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287D6F" w14:textId="4F54E4FC" w:rsidR="00573C9D" w:rsidRPr="00CF3001" w:rsidRDefault="00BF256C" w:rsidP="006E55AB">
            <w:pPr>
              <w:jc w:val="center"/>
              <w:rPr>
                <w:rFonts w:asciiTheme="majorHAnsi" w:hAnsiTheme="majorHAnsi" w:cstheme="majorHAnsi"/>
                <w:sz w:val="22"/>
                <w:szCs w:val="22"/>
              </w:rPr>
            </w:pPr>
            <w:r>
              <w:rPr>
                <w:rFonts w:asciiTheme="majorHAnsi" w:hAnsiTheme="majorHAnsi" w:cstheme="majorHAnsi"/>
                <w:sz w:val="22"/>
                <w:szCs w:val="22"/>
              </w:rPr>
              <w:t>57</w:t>
            </w:r>
            <w:r w:rsidR="00F92789">
              <w:rPr>
                <w:rFonts w:asciiTheme="majorHAnsi" w:hAnsiTheme="majorHAnsi" w:cstheme="majorHAnsi"/>
                <w:sz w:val="22"/>
                <w:szCs w:val="22"/>
              </w:rPr>
              <w:t>.</w:t>
            </w:r>
            <w:r w:rsidR="003304B2">
              <w:rPr>
                <w:rFonts w:asciiTheme="majorHAnsi" w:hAnsiTheme="majorHAnsi" w:cstheme="majorHAnsi"/>
                <w:sz w:val="22"/>
                <w:szCs w:val="22"/>
              </w:rPr>
              <w:t>6</w:t>
            </w:r>
            <w:r>
              <w:rPr>
                <w:rFonts w:asciiTheme="majorHAnsi" w:hAnsiTheme="majorHAnsi" w:cstheme="majorHAnsi"/>
                <w:sz w:val="22"/>
                <w:szCs w:val="22"/>
              </w:rPr>
              <w:t>4</w:t>
            </w:r>
            <w:r w:rsidR="00573C9D"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0CA0A" w14:textId="53A4D66F" w:rsidR="00573C9D" w:rsidRPr="00CF3001" w:rsidRDefault="003304B2" w:rsidP="006E55AB">
            <w:pPr>
              <w:jc w:val="center"/>
              <w:rPr>
                <w:rFonts w:asciiTheme="majorHAnsi" w:hAnsiTheme="majorHAnsi" w:cstheme="majorHAnsi"/>
                <w:sz w:val="22"/>
                <w:szCs w:val="22"/>
              </w:rPr>
            </w:pPr>
            <w:r>
              <w:rPr>
                <w:rFonts w:asciiTheme="majorHAnsi" w:hAnsiTheme="majorHAnsi" w:cstheme="majorHAnsi"/>
                <w:sz w:val="22"/>
                <w:szCs w:val="22"/>
              </w:rPr>
              <w:t>7.87</w:t>
            </w:r>
            <w:r w:rsidR="00573C9D"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33BCBF" w14:textId="5697294E"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DCC06E" w14:textId="09D30A85"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33CF1C05" w14:textId="61D668F0"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573C9D" w14:paraId="46665724"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C4C58C1" w14:textId="77777777" w:rsidR="00573C9D" w:rsidRDefault="00573C9D" w:rsidP="006E55AB">
            <w:pPr>
              <w:rPr>
                <w:rFonts w:asciiTheme="majorHAnsi" w:hAnsiTheme="majorHAnsi" w:cstheme="majorHAnsi"/>
                <w:sz w:val="22"/>
                <w:szCs w:val="22"/>
              </w:rPr>
            </w:pPr>
            <w:r w:rsidRPr="00CF3001">
              <w:rPr>
                <w:rFonts w:asciiTheme="majorHAnsi" w:hAnsiTheme="majorHAnsi" w:cstheme="majorHAnsi"/>
                <w:sz w:val="22"/>
                <w:szCs w:val="22"/>
              </w:rPr>
              <w:t>Winterflood Securities Limited</w:t>
            </w:r>
          </w:p>
          <w:p w14:paraId="47F5D16F" w14:textId="45BDFB44" w:rsidR="00573C9D" w:rsidRPr="00CF3001" w:rsidRDefault="00573C9D" w:rsidP="006E55AB">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7069C3" w14:textId="5C9407A1" w:rsidR="00573C9D" w:rsidRPr="00CF3001" w:rsidRDefault="00BF256C" w:rsidP="006E55AB">
            <w:pPr>
              <w:jc w:val="center"/>
              <w:rPr>
                <w:rFonts w:asciiTheme="majorHAnsi" w:hAnsiTheme="majorHAnsi" w:cstheme="majorHAnsi"/>
                <w:sz w:val="22"/>
                <w:szCs w:val="22"/>
              </w:rPr>
            </w:pPr>
            <w:r>
              <w:rPr>
                <w:rFonts w:asciiTheme="majorHAnsi" w:hAnsiTheme="majorHAnsi" w:cstheme="majorHAnsi"/>
                <w:sz w:val="22"/>
                <w:szCs w:val="22"/>
              </w:rPr>
              <w:t>2</w:t>
            </w:r>
            <w:r w:rsidR="003304B2">
              <w:rPr>
                <w:rFonts w:asciiTheme="majorHAnsi" w:hAnsiTheme="majorHAnsi" w:cstheme="majorHAnsi"/>
                <w:sz w:val="22"/>
                <w:szCs w:val="22"/>
              </w:rPr>
              <w:t>1.54</w:t>
            </w:r>
            <w:r w:rsidR="00573C9D"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F9640E5" w14:textId="3DB6A325" w:rsidR="00573C9D" w:rsidRPr="00CF3001" w:rsidRDefault="00BF256C" w:rsidP="006E55AB">
            <w:pPr>
              <w:jc w:val="center"/>
              <w:rPr>
                <w:rFonts w:asciiTheme="majorHAnsi" w:hAnsiTheme="majorHAnsi" w:cstheme="majorHAnsi"/>
                <w:sz w:val="22"/>
                <w:szCs w:val="22"/>
              </w:rPr>
            </w:pPr>
            <w:r>
              <w:rPr>
                <w:rFonts w:asciiTheme="majorHAnsi" w:hAnsiTheme="majorHAnsi" w:cstheme="majorHAnsi"/>
                <w:sz w:val="22"/>
                <w:szCs w:val="22"/>
              </w:rPr>
              <w:t>5</w:t>
            </w:r>
            <w:r w:rsidR="003304B2">
              <w:rPr>
                <w:rFonts w:asciiTheme="majorHAnsi" w:hAnsiTheme="majorHAnsi" w:cstheme="majorHAnsi"/>
                <w:sz w:val="22"/>
                <w:szCs w:val="22"/>
              </w:rPr>
              <w:t>7.38</w:t>
            </w:r>
            <w:r w:rsidR="00573C9D"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02446FFB" w14:textId="460EB044"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16889B0C" w14:textId="4B311B33" w:rsidR="00573C9D" w:rsidRPr="00CF3001" w:rsidRDefault="00573C9D" w:rsidP="006E55AB">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11B0CAF2" w14:textId="7153B7AA" w:rsidR="00573C9D" w:rsidRPr="00CF3001" w:rsidRDefault="008574DD" w:rsidP="006E55AB">
            <w:pPr>
              <w:jc w:val="center"/>
              <w:rPr>
                <w:rFonts w:asciiTheme="majorHAnsi" w:hAnsiTheme="majorHAnsi" w:cstheme="majorHAnsi"/>
                <w:sz w:val="22"/>
                <w:szCs w:val="22"/>
              </w:rPr>
            </w:pPr>
            <w:r>
              <w:rPr>
                <w:rFonts w:asciiTheme="majorHAnsi" w:hAnsiTheme="majorHAnsi" w:cstheme="majorHAnsi"/>
                <w:sz w:val="22"/>
                <w:szCs w:val="22"/>
              </w:rPr>
              <w:t>0%</w:t>
            </w:r>
          </w:p>
        </w:tc>
      </w:tr>
      <w:tr w:rsidR="00BF256C" w14:paraId="64B66E61"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DCC0FC" w14:textId="77777777" w:rsidR="00BF256C" w:rsidRPr="001A2FAF" w:rsidRDefault="00BF256C" w:rsidP="00BF256C">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658B27AB" w14:textId="2FE44423" w:rsidR="00BF256C" w:rsidRPr="00CF3001" w:rsidRDefault="00BF256C" w:rsidP="00BF256C">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67DB479" w14:textId="4CAD401F"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20.</w:t>
            </w:r>
            <w:r w:rsidR="003304B2">
              <w:rPr>
                <w:rFonts w:asciiTheme="majorHAnsi" w:hAnsiTheme="majorHAnsi" w:cstheme="majorHAnsi"/>
                <w:sz w:val="22"/>
                <w:szCs w:val="22"/>
              </w:rPr>
              <w:t>82</w:t>
            </w:r>
            <w:r>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F814845" w14:textId="27A3F7EB"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3</w:t>
            </w:r>
            <w:r w:rsidR="003304B2">
              <w:rPr>
                <w:rFonts w:asciiTheme="majorHAnsi" w:hAnsiTheme="majorHAnsi" w:cstheme="majorHAnsi"/>
                <w:sz w:val="22"/>
                <w:szCs w:val="22"/>
              </w:rPr>
              <w:t>4</w:t>
            </w:r>
            <w:r>
              <w:rPr>
                <w:rFonts w:asciiTheme="majorHAnsi" w:hAnsiTheme="majorHAnsi" w:cstheme="majorHAnsi"/>
                <w:sz w:val="22"/>
                <w:szCs w:val="22"/>
              </w:rPr>
              <w:t>.7</w:t>
            </w:r>
            <w:r w:rsidR="003304B2">
              <w:rPr>
                <w:rFonts w:asciiTheme="majorHAnsi" w:hAnsiTheme="majorHAnsi" w:cstheme="majorHAnsi"/>
                <w:sz w:val="22"/>
                <w:szCs w:val="22"/>
              </w:rPr>
              <w:t>5</w:t>
            </w:r>
            <w:r>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DBE4F63" w14:textId="5514BF54"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F87E60" w14:textId="3709A29E"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151AEB" w14:textId="31DE902C" w:rsidR="00BF256C" w:rsidRPr="00CF3001" w:rsidRDefault="00BF256C" w:rsidP="00BF256C">
            <w:pPr>
              <w:jc w:val="center"/>
              <w:rPr>
                <w:rFonts w:asciiTheme="majorHAnsi" w:hAnsiTheme="majorHAnsi" w:cstheme="majorHAnsi"/>
                <w:sz w:val="22"/>
                <w:szCs w:val="22"/>
              </w:rPr>
            </w:pPr>
            <w:r>
              <w:rPr>
                <w:rFonts w:asciiTheme="majorHAnsi" w:hAnsiTheme="majorHAnsi" w:cstheme="majorHAnsi"/>
                <w:sz w:val="22"/>
                <w:szCs w:val="22"/>
              </w:rPr>
              <w:t>0%</w:t>
            </w:r>
          </w:p>
        </w:tc>
      </w:tr>
      <w:tr w:rsidR="00BF256C" w14:paraId="1643F2AA" w14:textId="77777777" w:rsidTr="00075B3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F53B54" w14:textId="33381CA5" w:rsidR="00BF256C"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F1F023" w14:textId="16AD9D48"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965AD6" w14:textId="0D90C788"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27A1B4" w14:textId="17FCE916"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7347AF" w14:textId="07B04F2F"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207D9" w14:textId="3A3D62E0"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r>
      <w:tr w:rsidR="00BF256C" w14:paraId="4A940721" w14:textId="77777777" w:rsidTr="00075B3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0F1B50" w14:textId="12D3338A" w:rsidR="00BF256C"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97A826" w14:textId="0EF03575"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1A9CB5" w14:textId="64B910A1"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FAC2F7" w14:textId="5C86B639"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165731" w14:textId="11DA7201"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1BEE5D" w14:textId="0A232C5A" w:rsidR="00BF256C" w:rsidRPr="00CF3001" w:rsidRDefault="00BF256C" w:rsidP="00BF256C">
            <w:pPr>
              <w:jc w:val="center"/>
              <w:rPr>
                <w:rFonts w:asciiTheme="majorHAnsi" w:hAnsiTheme="majorHAnsi" w:cstheme="majorHAnsi"/>
                <w:sz w:val="22"/>
                <w:szCs w:val="22"/>
              </w:rPr>
            </w:pPr>
            <w:r w:rsidRPr="00132B7E">
              <w:rPr>
                <w:rFonts w:asciiTheme="majorHAnsi" w:hAnsiTheme="majorHAnsi" w:cstheme="majorHAnsi"/>
                <w:sz w:val="22"/>
                <w:szCs w:val="22"/>
              </w:rPr>
              <w:t>n/a</w:t>
            </w:r>
          </w:p>
        </w:tc>
      </w:tr>
    </w:tbl>
    <w:p w14:paraId="45B5643E" w14:textId="77777777" w:rsidR="00B04512" w:rsidRDefault="00B04512" w:rsidP="00B04512">
      <w:pPr>
        <w:spacing w:before="100" w:beforeAutospacing="1" w:after="100" w:afterAutospacing="1"/>
        <w:ind w:left="-851"/>
        <w:jc w:val="both"/>
        <w:rPr>
          <w:rFonts w:asciiTheme="majorHAnsi" w:hAnsiTheme="majorHAnsi" w:cstheme="majorHAnsi"/>
          <w:sz w:val="22"/>
          <w:szCs w:val="22"/>
        </w:rPr>
      </w:pPr>
    </w:p>
    <w:p w14:paraId="04A31EE8" w14:textId="77777777" w:rsidR="005B2A97" w:rsidRDefault="005B2A97" w:rsidP="005B2A97">
      <w:pPr>
        <w:spacing w:before="100" w:beforeAutospacing="1" w:after="100" w:afterAutospacing="1"/>
        <w:jc w:val="both"/>
        <w:rPr>
          <w:rFonts w:asciiTheme="majorHAnsi" w:hAnsiTheme="majorHAnsi" w:cstheme="majorHAnsi"/>
          <w:sz w:val="22"/>
          <w:szCs w:val="22"/>
        </w:rPr>
      </w:pPr>
    </w:p>
    <w:p w14:paraId="3E9C429F" w14:textId="6E8F259E" w:rsidR="005B2A97" w:rsidRPr="00371C90" w:rsidRDefault="005B2A97" w:rsidP="005B2A97">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0BB4A116" w14:textId="77777777" w:rsidR="005B2A97" w:rsidRPr="00371C90" w:rsidRDefault="005B2A97" w:rsidP="005B2A97">
      <w:pPr>
        <w:pStyle w:val="ListParagraph"/>
        <w:numPr>
          <w:ilvl w:val="0"/>
          <w:numId w:val="3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2B947BDF" w14:textId="77777777" w:rsidR="005B2A97" w:rsidRPr="00371C90" w:rsidRDefault="005B2A97" w:rsidP="005B2A97">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A60DA4C" w14:textId="77777777" w:rsidR="005B2A97" w:rsidRPr="00371C90" w:rsidRDefault="005B2A97" w:rsidP="005B2A97">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0A38FF7" w14:textId="77777777" w:rsidR="005B2A97" w:rsidRPr="00371C90" w:rsidRDefault="005B2A97" w:rsidP="005B2A97">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4DD6E865" w14:textId="77777777" w:rsidR="005B2A97" w:rsidRDefault="005B2A97" w:rsidP="005B2A97">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489E59A9"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7DE2829B"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75B968D2"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64F72B82" w14:textId="77777777" w:rsidR="005B2A97" w:rsidRDefault="005B2A97" w:rsidP="001A2FAF">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794D17BA" w14:textId="77777777" w:rsidR="005B2A97" w:rsidRPr="00E2094A" w:rsidRDefault="005B2A97" w:rsidP="001A2FAF">
      <w:pPr>
        <w:pStyle w:val="ListParagraph"/>
        <w:numPr>
          <w:ilvl w:val="0"/>
          <w:numId w:val="39"/>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79B99DCA" w14:textId="77777777" w:rsidR="00B04512" w:rsidRDefault="00B04512" w:rsidP="00B04512">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60E7413F" w14:textId="77777777" w:rsidR="00B04512" w:rsidRDefault="00B04512" w:rsidP="00B04512">
      <w:pPr>
        <w:ind w:left="-709"/>
        <w:jc w:val="both"/>
        <w:rPr>
          <w:rFonts w:asciiTheme="majorHAnsi" w:hAnsiTheme="majorHAnsi" w:cstheme="majorHAnsi"/>
          <w:sz w:val="22"/>
          <w:szCs w:val="22"/>
        </w:rPr>
      </w:pPr>
    </w:p>
    <w:p w14:paraId="5CE65A94" w14:textId="0C2DBBC8" w:rsidR="00042103" w:rsidRDefault="00042103" w:rsidP="00536837">
      <w:pPr>
        <w:jc w:val="center"/>
        <w:rPr>
          <w:rFonts w:asciiTheme="majorHAnsi" w:hAnsiTheme="majorHAnsi" w:cstheme="majorHAnsi"/>
          <w:sz w:val="22"/>
          <w:szCs w:val="22"/>
        </w:rPr>
      </w:pPr>
    </w:p>
    <w:p w14:paraId="51899D3B" w14:textId="77777777" w:rsidR="00042103" w:rsidRDefault="00042103" w:rsidP="00536837">
      <w:pPr>
        <w:jc w:val="center"/>
        <w:rPr>
          <w:rFonts w:asciiTheme="majorHAnsi" w:hAnsiTheme="majorHAnsi" w:cstheme="majorHAnsi"/>
          <w:sz w:val="22"/>
          <w:szCs w:val="22"/>
        </w:rPr>
      </w:pPr>
    </w:p>
    <w:p w14:paraId="7721F62D" w14:textId="77777777" w:rsidR="006E55AB" w:rsidRDefault="006E55AB" w:rsidP="00536837">
      <w:pPr>
        <w:jc w:val="center"/>
        <w:rPr>
          <w:rFonts w:asciiTheme="majorHAnsi" w:hAnsiTheme="majorHAnsi" w:cstheme="majorHAnsi"/>
          <w:sz w:val="22"/>
          <w:szCs w:val="22"/>
        </w:rPr>
      </w:pPr>
    </w:p>
    <w:p w14:paraId="6CEE04DF" w14:textId="77777777" w:rsidR="006E55AB" w:rsidRDefault="006E55AB" w:rsidP="00536837">
      <w:pPr>
        <w:jc w:val="center"/>
        <w:rPr>
          <w:rFonts w:asciiTheme="majorHAnsi" w:hAnsiTheme="majorHAnsi" w:cstheme="majorHAnsi"/>
          <w:sz w:val="22"/>
          <w:szCs w:val="22"/>
        </w:rPr>
      </w:pPr>
    </w:p>
    <w:p w14:paraId="23527708" w14:textId="77777777" w:rsidR="0063275C" w:rsidRDefault="0063275C" w:rsidP="00536837">
      <w:pPr>
        <w:jc w:val="center"/>
        <w:rPr>
          <w:rFonts w:asciiTheme="majorHAnsi" w:hAnsiTheme="majorHAnsi" w:cstheme="majorHAnsi"/>
          <w:sz w:val="22"/>
          <w:szCs w:val="22"/>
        </w:rPr>
      </w:pPr>
    </w:p>
    <w:p w14:paraId="2DAD267B" w14:textId="77777777" w:rsidR="0063275C" w:rsidRDefault="0063275C" w:rsidP="00536837">
      <w:pPr>
        <w:jc w:val="center"/>
        <w:rPr>
          <w:rFonts w:asciiTheme="majorHAnsi" w:hAnsiTheme="majorHAnsi" w:cstheme="majorHAnsi"/>
          <w:sz w:val="22"/>
          <w:szCs w:val="22"/>
        </w:rPr>
      </w:pPr>
    </w:p>
    <w:p w14:paraId="66A9F57A" w14:textId="77777777" w:rsidR="0063275C" w:rsidRDefault="0063275C" w:rsidP="00536837">
      <w:pPr>
        <w:jc w:val="center"/>
        <w:rPr>
          <w:rFonts w:asciiTheme="majorHAnsi" w:hAnsiTheme="majorHAnsi" w:cstheme="majorHAnsi"/>
          <w:sz w:val="22"/>
          <w:szCs w:val="22"/>
        </w:rPr>
      </w:pPr>
    </w:p>
    <w:p w14:paraId="213B3D63" w14:textId="77777777" w:rsidR="0063275C" w:rsidRDefault="0063275C" w:rsidP="00536837">
      <w:pPr>
        <w:jc w:val="center"/>
        <w:rPr>
          <w:rFonts w:asciiTheme="majorHAnsi" w:hAnsiTheme="majorHAnsi" w:cstheme="majorHAnsi"/>
          <w:sz w:val="22"/>
          <w:szCs w:val="22"/>
        </w:rPr>
      </w:pPr>
    </w:p>
    <w:p w14:paraId="78AEC04D" w14:textId="77777777" w:rsidR="0063275C" w:rsidRDefault="0063275C" w:rsidP="00536837">
      <w:pPr>
        <w:jc w:val="center"/>
        <w:rPr>
          <w:rFonts w:asciiTheme="majorHAnsi" w:hAnsiTheme="majorHAnsi" w:cstheme="majorHAnsi"/>
          <w:sz w:val="22"/>
          <w:szCs w:val="22"/>
        </w:rPr>
      </w:pPr>
    </w:p>
    <w:p w14:paraId="6E4AD530" w14:textId="77777777" w:rsidR="0063275C" w:rsidRDefault="0063275C" w:rsidP="00536837">
      <w:pPr>
        <w:jc w:val="cente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3304B2" w14:paraId="3ABCC679" w14:textId="77777777" w:rsidTr="005147C5">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F488DA" w14:textId="77777777" w:rsidR="003304B2" w:rsidRPr="00CF3001" w:rsidRDefault="003304B2" w:rsidP="005147C5">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532D907" w14:textId="60A13508" w:rsidR="003304B2" w:rsidRPr="00C55BC5" w:rsidRDefault="003304B2" w:rsidP="005147C5">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p>
        </w:tc>
      </w:tr>
      <w:tr w:rsidR="003304B2" w14:paraId="4E6C3C90" w14:textId="77777777" w:rsidTr="005147C5">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716DD34" w14:textId="77777777" w:rsidR="003304B2" w:rsidRPr="00CF3001" w:rsidRDefault="003304B2" w:rsidP="005147C5">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11E82" w14:textId="025A0F1C" w:rsidR="003304B2" w:rsidRPr="00CF3001" w:rsidRDefault="003304B2"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3304B2" w14:paraId="111D3613" w14:textId="77777777" w:rsidTr="005147C5">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5C4A43" w14:textId="77777777" w:rsidR="003304B2" w:rsidRPr="00CF3001" w:rsidRDefault="003304B2" w:rsidP="005147C5">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99C009" w14:textId="77777777" w:rsidR="003304B2" w:rsidRPr="00CF3001" w:rsidRDefault="003304B2" w:rsidP="005147C5">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68EEFD" w14:textId="77777777" w:rsidR="003304B2" w:rsidRPr="00CF3001" w:rsidRDefault="003304B2" w:rsidP="005147C5">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A531F5" w14:textId="77777777" w:rsidR="003304B2" w:rsidRPr="00CF3001" w:rsidRDefault="003304B2"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7A59E0" w14:textId="77777777" w:rsidR="003304B2" w:rsidRPr="00CF3001" w:rsidRDefault="003304B2"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DD69FFF" w14:textId="77777777" w:rsidR="003304B2" w:rsidRPr="00CF3001" w:rsidRDefault="003304B2" w:rsidP="005147C5">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C4C743" w14:textId="77777777" w:rsidR="003304B2" w:rsidRPr="00CF3001" w:rsidRDefault="003304B2" w:rsidP="005147C5">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3304B2" w14:paraId="0B94D5C2" w14:textId="77777777" w:rsidTr="005147C5">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B03D7D" w14:textId="77777777" w:rsidR="003304B2" w:rsidRDefault="003304B2" w:rsidP="005147C5">
            <w:pPr>
              <w:rPr>
                <w:rFonts w:asciiTheme="majorHAnsi" w:hAnsiTheme="majorHAnsi" w:cstheme="majorHAnsi"/>
                <w:sz w:val="22"/>
                <w:szCs w:val="22"/>
              </w:rPr>
            </w:pPr>
            <w:r w:rsidRPr="00CF3001">
              <w:rPr>
                <w:rFonts w:asciiTheme="majorHAnsi" w:hAnsiTheme="majorHAnsi" w:cstheme="majorHAnsi"/>
                <w:sz w:val="22"/>
                <w:szCs w:val="22"/>
              </w:rPr>
              <w:t>Sanlam Securities UK Limited</w:t>
            </w:r>
          </w:p>
          <w:p w14:paraId="0C339BEF" w14:textId="77777777" w:rsidR="003304B2" w:rsidRPr="00CF3001" w:rsidRDefault="003304B2" w:rsidP="005147C5">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1EA27" w14:textId="4EE790B5"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57.23</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0BB34" w14:textId="07348D9F"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11.85</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80A75FB" w14:textId="77777777" w:rsidR="003304B2" w:rsidRPr="00CF3001" w:rsidRDefault="003304B2" w:rsidP="005147C5">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hideMark/>
          </w:tcPr>
          <w:p w14:paraId="745D11F2" w14:textId="77777777" w:rsidR="003304B2" w:rsidRPr="00CF3001" w:rsidRDefault="003304B2" w:rsidP="005147C5">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hideMark/>
          </w:tcPr>
          <w:p w14:paraId="3186631B" w14:textId="77777777"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0%</w:t>
            </w:r>
          </w:p>
        </w:tc>
      </w:tr>
      <w:tr w:rsidR="003304B2" w14:paraId="5F291A80" w14:textId="77777777" w:rsidTr="005147C5">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7D929DF" w14:textId="77777777" w:rsidR="003304B2" w:rsidRDefault="003304B2" w:rsidP="005147C5">
            <w:pPr>
              <w:rPr>
                <w:rFonts w:asciiTheme="majorHAnsi" w:hAnsiTheme="majorHAnsi" w:cstheme="majorHAnsi"/>
                <w:sz w:val="22"/>
                <w:szCs w:val="22"/>
              </w:rPr>
            </w:pPr>
            <w:r w:rsidRPr="00CF3001">
              <w:rPr>
                <w:rFonts w:asciiTheme="majorHAnsi" w:hAnsiTheme="majorHAnsi" w:cstheme="majorHAnsi"/>
                <w:sz w:val="22"/>
                <w:szCs w:val="22"/>
              </w:rPr>
              <w:t>Winterflood Securities Limited</w:t>
            </w:r>
          </w:p>
          <w:p w14:paraId="11284B46" w14:textId="77777777" w:rsidR="003304B2" w:rsidRPr="00CF3001" w:rsidRDefault="003304B2" w:rsidP="005147C5">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1DC6830" w14:textId="31E0FFDE"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22.52</w:t>
            </w:r>
            <w:r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F95D647" w14:textId="2D009949"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50.41</w:t>
            </w:r>
            <w:r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024A174C" w14:textId="77777777" w:rsidR="003304B2" w:rsidRPr="00CF3001" w:rsidRDefault="003304B2" w:rsidP="005147C5">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hideMark/>
          </w:tcPr>
          <w:p w14:paraId="6F6C663E" w14:textId="77777777" w:rsidR="003304B2" w:rsidRPr="00CF3001" w:rsidRDefault="003304B2" w:rsidP="005147C5">
            <w:pPr>
              <w:jc w:val="center"/>
              <w:rPr>
                <w:rFonts w:asciiTheme="majorHAnsi" w:hAnsiTheme="majorHAnsi" w:cstheme="majorHAnsi"/>
                <w:sz w:val="22"/>
                <w:szCs w:val="22"/>
              </w:rPr>
            </w:pPr>
            <w:r w:rsidRPr="003E4303">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hideMark/>
          </w:tcPr>
          <w:p w14:paraId="2C9B5C1A" w14:textId="77777777"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0%</w:t>
            </w:r>
          </w:p>
        </w:tc>
      </w:tr>
      <w:tr w:rsidR="003304B2" w14:paraId="72195666"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EA7E29" w14:textId="77777777" w:rsidR="003304B2" w:rsidRPr="001A2FAF" w:rsidRDefault="003304B2" w:rsidP="005147C5">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2CF6C6AF" w14:textId="77777777" w:rsidR="003304B2" w:rsidRPr="00CF3001" w:rsidRDefault="003304B2" w:rsidP="005147C5">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230EE9C" w14:textId="2826F927"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20.24%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A3E91A3" w14:textId="4AD1E7FA"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37.75%</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D66188B"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C86FED"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7AB25D" w14:textId="77777777" w:rsidR="003304B2" w:rsidRPr="00CF3001" w:rsidRDefault="003304B2" w:rsidP="005147C5">
            <w:pPr>
              <w:jc w:val="center"/>
              <w:rPr>
                <w:rFonts w:asciiTheme="majorHAnsi" w:hAnsiTheme="majorHAnsi" w:cstheme="majorHAnsi"/>
                <w:sz w:val="22"/>
                <w:szCs w:val="22"/>
              </w:rPr>
            </w:pPr>
            <w:r>
              <w:rPr>
                <w:rFonts w:asciiTheme="majorHAnsi" w:hAnsiTheme="majorHAnsi" w:cstheme="majorHAnsi"/>
                <w:sz w:val="22"/>
                <w:szCs w:val="22"/>
              </w:rPr>
              <w:t>0%</w:t>
            </w:r>
          </w:p>
        </w:tc>
      </w:tr>
      <w:tr w:rsidR="003304B2" w14:paraId="26D39986"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14853C" w14:textId="77777777" w:rsidR="003304B2"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482425"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9F4EA6"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98FA6A"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CB929F"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C496A3"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r>
      <w:tr w:rsidR="003304B2" w14:paraId="4D8E151A" w14:textId="77777777" w:rsidTr="005147C5">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B566E6" w14:textId="77777777" w:rsidR="003304B2"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394864"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9AFF12"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3807BD"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8DD254"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CA8CF3" w14:textId="77777777" w:rsidR="003304B2" w:rsidRPr="00CF3001" w:rsidRDefault="003304B2" w:rsidP="005147C5">
            <w:pPr>
              <w:jc w:val="center"/>
              <w:rPr>
                <w:rFonts w:asciiTheme="majorHAnsi" w:hAnsiTheme="majorHAnsi" w:cstheme="majorHAnsi"/>
                <w:sz w:val="22"/>
                <w:szCs w:val="22"/>
              </w:rPr>
            </w:pPr>
            <w:r w:rsidRPr="00132B7E">
              <w:rPr>
                <w:rFonts w:asciiTheme="majorHAnsi" w:hAnsiTheme="majorHAnsi" w:cstheme="majorHAnsi"/>
                <w:sz w:val="22"/>
                <w:szCs w:val="22"/>
              </w:rPr>
              <w:t>n/a</w:t>
            </w:r>
          </w:p>
        </w:tc>
      </w:tr>
    </w:tbl>
    <w:p w14:paraId="5ECC6F0B" w14:textId="77777777" w:rsidR="003304B2" w:rsidRDefault="003304B2" w:rsidP="003304B2">
      <w:pPr>
        <w:spacing w:before="100" w:beforeAutospacing="1" w:after="100" w:afterAutospacing="1"/>
        <w:ind w:left="-851"/>
        <w:jc w:val="both"/>
        <w:rPr>
          <w:rFonts w:asciiTheme="majorHAnsi" w:hAnsiTheme="majorHAnsi" w:cstheme="majorHAnsi"/>
          <w:sz w:val="22"/>
          <w:szCs w:val="22"/>
        </w:rPr>
      </w:pPr>
    </w:p>
    <w:p w14:paraId="73E29D95" w14:textId="77777777" w:rsidR="005B2A97" w:rsidRDefault="005B2A97" w:rsidP="003304B2">
      <w:pPr>
        <w:spacing w:before="100" w:beforeAutospacing="1" w:after="100" w:afterAutospacing="1"/>
        <w:ind w:left="-709"/>
        <w:jc w:val="both"/>
        <w:rPr>
          <w:rFonts w:asciiTheme="majorHAnsi" w:hAnsiTheme="majorHAnsi" w:cstheme="majorHAnsi"/>
          <w:sz w:val="22"/>
          <w:szCs w:val="22"/>
        </w:rPr>
      </w:pPr>
    </w:p>
    <w:p w14:paraId="2AED786E" w14:textId="77777777" w:rsidR="005B2A97" w:rsidRPr="00371C90" w:rsidRDefault="005B2A97" w:rsidP="005B2A97">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7331D6DE" w14:textId="77777777" w:rsidR="005B2A97" w:rsidRPr="00371C90" w:rsidRDefault="005B2A97" w:rsidP="005B2A97">
      <w:pPr>
        <w:pStyle w:val="ListParagraph"/>
        <w:numPr>
          <w:ilvl w:val="0"/>
          <w:numId w:val="33"/>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A0D0AB8" w14:textId="77777777" w:rsidR="005B2A97" w:rsidRPr="00371C90" w:rsidRDefault="005B2A97" w:rsidP="005B2A97">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4161094A" w14:textId="77777777" w:rsidR="005B2A97" w:rsidRPr="00371C90" w:rsidRDefault="005B2A97" w:rsidP="005B2A97">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42AE2A8F" w14:textId="77777777" w:rsidR="005B2A97" w:rsidRPr="00371C90" w:rsidRDefault="005B2A97" w:rsidP="005B2A97">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2EA37F26" w14:textId="77777777" w:rsidR="005B2A97" w:rsidRDefault="005B2A97" w:rsidP="005B2A97">
      <w:pPr>
        <w:pStyle w:val="ListParagraph"/>
        <w:numPr>
          <w:ilvl w:val="0"/>
          <w:numId w:val="3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5151AE6B"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459D2200"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r w:rsidRPr="00E2094A">
        <w:rPr>
          <w:rFonts w:asciiTheme="majorHAnsi" w:hAnsiTheme="majorHAnsi" w:cstheme="majorHAnsi"/>
          <w:sz w:val="22"/>
          <w:szCs w:val="22"/>
        </w:rPr>
        <w:t xml:space="preserve">For orders in </w:t>
      </w:r>
      <w:r w:rsidRPr="00E2094A">
        <w:rPr>
          <w:rFonts w:asciiTheme="majorHAnsi" w:hAnsiTheme="majorHAnsi" w:cstheme="majorHAnsi"/>
          <w:b/>
          <w:bCs/>
          <w:sz w:val="22"/>
          <w:szCs w:val="22"/>
        </w:rPr>
        <w:t>Investment Trusts</w:t>
      </w:r>
      <w:r w:rsidRPr="00E2094A">
        <w:rPr>
          <w:rFonts w:asciiTheme="majorHAnsi" w:hAnsiTheme="majorHAnsi" w:cstheme="majorHAnsi"/>
          <w:sz w:val="22"/>
          <w:szCs w:val="22"/>
        </w:rPr>
        <w:t xml:space="preserve">, the execution factors are listed below in the order of importance. </w:t>
      </w:r>
    </w:p>
    <w:p w14:paraId="382E3FC1" w14:textId="77777777" w:rsidR="005B2A97" w:rsidRDefault="005B2A97" w:rsidP="005B2A97">
      <w:pPr>
        <w:pStyle w:val="ListParagraph"/>
        <w:spacing w:before="100" w:beforeAutospacing="1" w:after="100" w:afterAutospacing="1"/>
        <w:ind w:left="329"/>
        <w:jc w:val="both"/>
        <w:rPr>
          <w:rFonts w:asciiTheme="majorHAnsi" w:hAnsiTheme="majorHAnsi" w:cstheme="majorHAnsi"/>
          <w:sz w:val="22"/>
          <w:szCs w:val="22"/>
        </w:rPr>
      </w:pPr>
    </w:p>
    <w:p w14:paraId="61509C36" w14:textId="77777777" w:rsidR="005B2A97" w:rsidRDefault="005B2A97" w:rsidP="001A2FAF">
      <w:pPr>
        <w:pStyle w:val="ListParagraph"/>
        <w:numPr>
          <w:ilvl w:val="0"/>
          <w:numId w:val="40"/>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Price and cost</w:t>
      </w:r>
    </w:p>
    <w:p w14:paraId="6C85C04C" w14:textId="77777777" w:rsidR="005B2A97" w:rsidRPr="00E2094A" w:rsidRDefault="005B2A97" w:rsidP="001A2FAF">
      <w:pPr>
        <w:pStyle w:val="ListParagraph"/>
        <w:numPr>
          <w:ilvl w:val="0"/>
          <w:numId w:val="40"/>
        </w:num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Likelihood of execution</w:t>
      </w:r>
    </w:p>
    <w:p w14:paraId="4AFAAC3F" w14:textId="77777777" w:rsidR="003304B2" w:rsidRDefault="003304B2" w:rsidP="003304B2">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DAEC083" w14:textId="77777777" w:rsidR="003304B2" w:rsidRDefault="003304B2" w:rsidP="003304B2">
      <w:pPr>
        <w:ind w:left="-709"/>
        <w:jc w:val="both"/>
        <w:rPr>
          <w:rFonts w:asciiTheme="majorHAnsi" w:hAnsiTheme="majorHAnsi" w:cstheme="majorHAnsi"/>
          <w:sz w:val="22"/>
          <w:szCs w:val="22"/>
        </w:rPr>
      </w:pPr>
    </w:p>
    <w:p w14:paraId="041C09FB" w14:textId="77777777" w:rsidR="003304B2" w:rsidRDefault="003304B2" w:rsidP="003304B2">
      <w:pPr>
        <w:jc w:val="center"/>
        <w:rPr>
          <w:rFonts w:asciiTheme="majorHAnsi" w:hAnsiTheme="majorHAnsi" w:cstheme="majorHAnsi"/>
          <w:sz w:val="22"/>
          <w:szCs w:val="22"/>
        </w:rPr>
      </w:pPr>
    </w:p>
    <w:p w14:paraId="42B791FD" w14:textId="77777777" w:rsidR="003304B2" w:rsidRDefault="003304B2" w:rsidP="003304B2">
      <w:pPr>
        <w:jc w:val="center"/>
        <w:rPr>
          <w:rFonts w:asciiTheme="majorHAnsi" w:hAnsiTheme="majorHAnsi" w:cstheme="majorHAnsi"/>
          <w:sz w:val="22"/>
          <w:szCs w:val="22"/>
        </w:rPr>
      </w:pPr>
    </w:p>
    <w:p w14:paraId="198910C6" w14:textId="71BD3450" w:rsidR="007E6B9A" w:rsidRDefault="007E6B9A" w:rsidP="00536837">
      <w:pPr>
        <w:jc w:val="center"/>
        <w:rPr>
          <w:rFonts w:asciiTheme="majorHAnsi" w:hAnsiTheme="majorHAnsi" w:cstheme="majorHAnsi"/>
          <w:sz w:val="22"/>
          <w:szCs w:val="22"/>
        </w:rPr>
      </w:pPr>
    </w:p>
    <w:p w14:paraId="028CE0BF" w14:textId="7196A047" w:rsidR="003304B2" w:rsidRDefault="003304B2" w:rsidP="00536837">
      <w:pPr>
        <w:jc w:val="center"/>
        <w:rPr>
          <w:rFonts w:asciiTheme="majorHAnsi" w:hAnsiTheme="majorHAnsi" w:cstheme="majorHAnsi"/>
          <w:sz w:val="22"/>
          <w:szCs w:val="22"/>
        </w:rPr>
      </w:pPr>
    </w:p>
    <w:p w14:paraId="3A8FBA08" w14:textId="36E0A796" w:rsidR="003304B2" w:rsidRDefault="003304B2" w:rsidP="00536837">
      <w:pPr>
        <w:jc w:val="center"/>
        <w:rPr>
          <w:rFonts w:asciiTheme="majorHAnsi" w:hAnsiTheme="majorHAnsi" w:cstheme="majorHAnsi"/>
          <w:sz w:val="22"/>
          <w:szCs w:val="22"/>
        </w:rPr>
      </w:pPr>
    </w:p>
    <w:p w14:paraId="638A07CC" w14:textId="415A02F0" w:rsidR="003304B2" w:rsidRDefault="003304B2" w:rsidP="00536837">
      <w:pPr>
        <w:jc w:val="center"/>
        <w:rPr>
          <w:rFonts w:asciiTheme="majorHAnsi" w:hAnsiTheme="majorHAnsi" w:cstheme="majorHAnsi"/>
          <w:sz w:val="22"/>
          <w:szCs w:val="22"/>
        </w:rPr>
      </w:pPr>
    </w:p>
    <w:p w14:paraId="352F8542" w14:textId="7B18072B" w:rsidR="003304B2" w:rsidRDefault="003304B2" w:rsidP="00536837">
      <w:pPr>
        <w:jc w:val="center"/>
        <w:rPr>
          <w:rFonts w:asciiTheme="majorHAnsi" w:hAnsiTheme="majorHAnsi" w:cstheme="majorHAnsi"/>
          <w:sz w:val="22"/>
          <w:szCs w:val="22"/>
        </w:rPr>
      </w:pPr>
    </w:p>
    <w:p w14:paraId="63D806C9" w14:textId="71894B1F" w:rsidR="003304B2" w:rsidRDefault="003304B2" w:rsidP="00536837">
      <w:pPr>
        <w:jc w:val="center"/>
        <w:rPr>
          <w:rFonts w:asciiTheme="majorHAnsi" w:hAnsiTheme="majorHAnsi" w:cstheme="majorHAnsi"/>
          <w:sz w:val="22"/>
          <w:szCs w:val="22"/>
        </w:rPr>
      </w:pPr>
    </w:p>
    <w:p w14:paraId="3B13D900" w14:textId="0378AED8" w:rsidR="003304B2" w:rsidRDefault="003304B2" w:rsidP="00536837">
      <w:pPr>
        <w:jc w:val="center"/>
        <w:rPr>
          <w:rFonts w:asciiTheme="majorHAnsi" w:hAnsiTheme="majorHAnsi" w:cstheme="majorHAnsi"/>
          <w:sz w:val="22"/>
          <w:szCs w:val="22"/>
        </w:rPr>
      </w:pPr>
    </w:p>
    <w:p w14:paraId="47D83FC7" w14:textId="4E138EAF" w:rsidR="003304B2" w:rsidRDefault="003304B2" w:rsidP="00536837">
      <w:pPr>
        <w:jc w:val="center"/>
        <w:rPr>
          <w:rFonts w:asciiTheme="majorHAnsi" w:hAnsiTheme="majorHAnsi" w:cstheme="majorHAnsi"/>
          <w:sz w:val="22"/>
          <w:szCs w:val="22"/>
        </w:rPr>
      </w:pPr>
    </w:p>
    <w:p w14:paraId="510ACA3F" w14:textId="77777777" w:rsidR="00BF256C" w:rsidRDefault="00BF256C" w:rsidP="00536837">
      <w:pPr>
        <w:jc w:val="cente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12481F" w14:paraId="2B8BE945" w14:textId="77777777" w:rsidTr="00CF0AD1">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5370E6B"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30E9F2" w14:textId="5CC41144" w:rsidR="0012481F" w:rsidRPr="00C55BC5" w:rsidRDefault="0012481F" w:rsidP="00573C9D">
            <w:pPr>
              <w:rPr>
                <w:rFonts w:asciiTheme="majorHAnsi" w:hAnsiTheme="majorHAnsi" w:cstheme="majorHAnsi"/>
                <w:sz w:val="22"/>
                <w:szCs w:val="22"/>
              </w:rPr>
            </w:pPr>
            <w:r w:rsidRPr="00C55BC5">
              <w:rPr>
                <w:rFonts w:asciiTheme="majorHAnsi" w:hAnsiTheme="majorHAnsi" w:cstheme="majorHAnsi"/>
                <w:sz w:val="22"/>
                <w:szCs w:val="22"/>
              </w:rPr>
              <w:t>Debt instruments</w:t>
            </w:r>
            <w:r w:rsidR="00F965BB">
              <w:rPr>
                <w:rFonts w:asciiTheme="majorHAnsi" w:hAnsiTheme="majorHAnsi" w:cstheme="majorHAnsi"/>
                <w:sz w:val="22"/>
                <w:szCs w:val="22"/>
              </w:rPr>
              <w:t>: Bonds</w:t>
            </w:r>
          </w:p>
        </w:tc>
      </w:tr>
      <w:tr w:rsidR="0012481F" w14:paraId="7EA1437B" w14:textId="77777777" w:rsidTr="00CF0AD1">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180B563"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BB6F15" w14:textId="2255BEA6" w:rsidR="0012481F" w:rsidRPr="00CF3001" w:rsidRDefault="006E55AB" w:rsidP="001A2FAF">
            <w:pPr>
              <w:rPr>
                <w:rFonts w:asciiTheme="majorHAnsi" w:hAnsiTheme="majorHAnsi" w:cstheme="majorHAnsi"/>
                <w:sz w:val="22"/>
                <w:szCs w:val="22"/>
              </w:rPr>
            </w:pPr>
            <w:r>
              <w:rPr>
                <w:rFonts w:asciiTheme="majorHAnsi" w:hAnsiTheme="majorHAnsi" w:cstheme="majorHAnsi"/>
                <w:sz w:val="22"/>
                <w:szCs w:val="22"/>
              </w:rPr>
              <w:t>N</w:t>
            </w:r>
            <w:r w:rsidR="001A2FAF">
              <w:rPr>
                <w:rFonts w:asciiTheme="majorHAnsi" w:hAnsiTheme="majorHAnsi" w:cstheme="majorHAnsi"/>
                <w:sz w:val="22"/>
                <w:szCs w:val="22"/>
              </w:rPr>
              <w:t>o</w:t>
            </w:r>
          </w:p>
        </w:tc>
      </w:tr>
      <w:tr w:rsidR="0012481F" w14:paraId="5062DAC9" w14:textId="77777777" w:rsidTr="00CF0AD1">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A6B122" w14:textId="77777777" w:rsidR="0012481F" w:rsidRPr="00CF3001" w:rsidRDefault="0012481F" w:rsidP="00CF0AD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4E62B1D"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10AF21"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41B7CA6"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89C938"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79F925CF" w14:textId="77777777" w:rsidR="0012481F" w:rsidRPr="00CF3001" w:rsidRDefault="0012481F" w:rsidP="00CF0AD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2C6671" w14:textId="77777777" w:rsidR="0012481F" w:rsidRPr="00CF3001" w:rsidRDefault="0012481F"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2E2C21A1" w14:textId="77777777" w:rsidTr="00F92789">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72B6820C" w14:textId="77777777" w:rsidR="001B2BB9" w:rsidRPr="001A2FAF" w:rsidRDefault="001B2BB9" w:rsidP="001B2BB9">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7B7033C6" w14:textId="5EA7F33B" w:rsidR="00573C9D" w:rsidRPr="00CF3001" w:rsidRDefault="001B2BB9" w:rsidP="001B2BB9">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A7F1C35" w14:textId="5022CC55" w:rsidR="00573C9D" w:rsidRPr="00CF3001" w:rsidRDefault="001B2BB9" w:rsidP="0012481F">
            <w:pPr>
              <w:jc w:val="center"/>
              <w:rPr>
                <w:rFonts w:asciiTheme="majorHAnsi" w:hAnsiTheme="majorHAnsi" w:cstheme="majorHAnsi"/>
                <w:sz w:val="22"/>
                <w:szCs w:val="22"/>
              </w:rPr>
            </w:pPr>
            <w:r>
              <w:rPr>
                <w:rFonts w:asciiTheme="majorHAnsi" w:hAnsiTheme="majorHAnsi" w:cstheme="majorHAnsi"/>
                <w:sz w:val="22"/>
                <w:szCs w:val="22"/>
              </w:rPr>
              <w:t>51.73</w:t>
            </w:r>
            <w:r w:rsidR="00573C9D" w:rsidRPr="0012481F">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969D8AD" w14:textId="07781B67" w:rsidR="00573C9D" w:rsidRPr="00CF3001" w:rsidRDefault="001B2BB9" w:rsidP="0012481F">
            <w:pPr>
              <w:jc w:val="center"/>
              <w:rPr>
                <w:rFonts w:asciiTheme="majorHAnsi" w:hAnsiTheme="majorHAnsi" w:cstheme="majorHAnsi"/>
                <w:sz w:val="22"/>
                <w:szCs w:val="22"/>
              </w:rPr>
            </w:pPr>
            <w:r>
              <w:rPr>
                <w:rFonts w:asciiTheme="majorHAnsi" w:hAnsiTheme="majorHAnsi" w:cstheme="majorHAnsi"/>
                <w:sz w:val="22"/>
                <w:szCs w:val="22"/>
              </w:rPr>
              <w:t>22.52</w:t>
            </w:r>
            <w:r w:rsidR="00573C9D" w:rsidRPr="0012481F">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0CAA19E6" w14:textId="4E7F985B" w:rsidR="00573C9D" w:rsidRPr="00CF3001" w:rsidRDefault="00A46C9D" w:rsidP="0012481F">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74B0571B" w14:textId="1004C1CA" w:rsidR="00573C9D" w:rsidRPr="00CF3001" w:rsidRDefault="00A46C9D" w:rsidP="0012481F">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2C0A9CBF" w14:textId="47134B4A" w:rsidR="00573C9D" w:rsidRPr="00CF3001" w:rsidRDefault="00DD5103" w:rsidP="0012481F">
            <w:pPr>
              <w:jc w:val="center"/>
              <w:rPr>
                <w:rFonts w:asciiTheme="majorHAnsi" w:hAnsiTheme="majorHAnsi" w:cstheme="majorHAnsi"/>
                <w:sz w:val="22"/>
                <w:szCs w:val="22"/>
              </w:rPr>
            </w:pPr>
            <w:r>
              <w:rPr>
                <w:rFonts w:asciiTheme="majorHAnsi" w:hAnsiTheme="majorHAnsi" w:cstheme="majorHAnsi"/>
                <w:sz w:val="22"/>
                <w:szCs w:val="22"/>
              </w:rPr>
              <w:t>0%</w:t>
            </w:r>
          </w:p>
        </w:tc>
      </w:tr>
      <w:tr w:rsidR="00DD5103" w14:paraId="212EA883"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46AED7B" w14:textId="77777777" w:rsidR="001B2BB9" w:rsidRDefault="001B2BB9" w:rsidP="001B2BB9">
            <w:pPr>
              <w:rPr>
                <w:rFonts w:asciiTheme="majorHAnsi" w:hAnsiTheme="majorHAnsi" w:cstheme="majorHAnsi"/>
                <w:sz w:val="22"/>
                <w:szCs w:val="22"/>
              </w:rPr>
            </w:pPr>
            <w:r w:rsidRPr="0012481F">
              <w:rPr>
                <w:rFonts w:asciiTheme="majorHAnsi" w:hAnsiTheme="majorHAnsi" w:cstheme="majorHAnsi"/>
                <w:sz w:val="22"/>
                <w:szCs w:val="22"/>
              </w:rPr>
              <w:t>Winterflood Gilts Limited</w:t>
            </w:r>
          </w:p>
          <w:p w14:paraId="6E12F9F3" w14:textId="2525795A" w:rsidR="00DD5103" w:rsidRPr="00CF3001" w:rsidRDefault="001B2BB9" w:rsidP="001B2BB9">
            <w:pPr>
              <w:rPr>
                <w:rFonts w:asciiTheme="majorHAnsi" w:hAnsiTheme="majorHAnsi" w:cstheme="majorHAnsi"/>
                <w:sz w:val="22"/>
                <w:szCs w:val="22"/>
              </w:rPr>
            </w:pPr>
            <w:r w:rsidRPr="00F92789">
              <w:rPr>
                <w:rFonts w:asciiTheme="majorHAnsi" w:hAnsiTheme="majorHAnsi" w:cstheme="majorHAnsi" w:hint="eastAsia"/>
                <w:sz w:val="20"/>
                <w:szCs w:val="20"/>
              </w:rPr>
              <w:t>LEI Code 213800BD519H2YV9R748</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0BBEA9" w14:textId="5EE6B61A" w:rsidR="00DD5103" w:rsidRPr="00CF3001" w:rsidRDefault="001B2BB9" w:rsidP="00A46C9D">
            <w:pPr>
              <w:jc w:val="center"/>
              <w:rPr>
                <w:rFonts w:asciiTheme="majorHAnsi" w:hAnsiTheme="majorHAnsi" w:cstheme="majorHAnsi"/>
                <w:sz w:val="22"/>
                <w:szCs w:val="22"/>
              </w:rPr>
            </w:pPr>
            <w:r>
              <w:rPr>
                <w:rFonts w:asciiTheme="majorHAnsi" w:hAnsiTheme="majorHAnsi" w:cstheme="majorHAnsi"/>
                <w:sz w:val="22"/>
                <w:szCs w:val="22"/>
              </w:rPr>
              <w:t>48.27</w:t>
            </w:r>
            <w:r w:rsidR="00DD5103" w:rsidRPr="0012481F">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9E3C14" w14:textId="03EF34D3" w:rsidR="00DD5103" w:rsidRPr="00CF3001" w:rsidRDefault="001B2BB9" w:rsidP="00DD5103">
            <w:pPr>
              <w:jc w:val="center"/>
              <w:rPr>
                <w:rFonts w:asciiTheme="majorHAnsi" w:hAnsiTheme="majorHAnsi" w:cstheme="majorHAnsi"/>
                <w:sz w:val="22"/>
                <w:szCs w:val="22"/>
              </w:rPr>
            </w:pPr>
            <w:r>
              <w:rPr>
                <w:rFonts w:asciiTheme="majorHAnsi" w:hAnsiTheme="majorHAnsi" w:cstheme="majorHAnsi"/>
                <w:sz w:val="22"/>
                <w:szCs w:val="22"/>
              </w:rPr>
              <w:t>77.48</w:t>
            </w:r>
            <w:r w:rsidR="00DD5103" w:rsidRPr="0012481F">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738736" w14:textId="5DD8EC8A" w:rsidR="00DD5103" w:rsidRPr="00CF3001" w:rsidRDefault="00A46C9D" w:rsidP="00DD5103">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16E215" w14:textId="65F74C10" w:rsidR="00DD5103" w:rsidRPr="00CF3001" w:rsidRDefault="00A46C9D" w:rsidP="00DD5103">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EC2AB2" w14:textId="0A388BAA" w:rsidR="00DD5103" w:rsidRPr="00CF3001" w:rsidRDefault="00DD5103" w:rsidP="00DD5103">
            <w:pPr>
              <w:jc w:val="center"/>
              <w:rPr>
                <w:rFonts w:asciiTheme="majorHAnsi" w:hAnsiTheme="majorHAnsi" w:cstheme="majorHAnsi"/>
                <w:sz w:val="22"/>
                <w:szCs w:val="22"/>
              </w:rPr>
            </w:pPr>
            <w:r>
              <w:rPr>
                <w:rFonts w:asciiTheme="majorHAnsi" w:hAnsiTheme="majorHAnsi" w:cstheme="majorHAnsi"/>
                <w:sz w:val="22"/>
                <w:szCs w:val="22"/>
              </w:rPr>
              <w:t>0%</w:t>
            </w:r>
          </w:p>
        </w:tc>
      </w:tr>
      <w:tr w:rsidR="001B2BB9" w14:paraId="390100D3" w14:textId="77777777" w:rsidTr="00E2672C">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0365C3" w14:textId="7158DD42"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6397D9" w14:textId="1FAB88AF"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C5278A" w14:textId="12A75893"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8AAC73" w14:textId="38FDBF51"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06B762" w14:textId="79A15DF0"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B5EAE5" w14:textId="3E9DC662" w:rsidR="001B2BB9" w:rsidRPr="00CF3001" w:rsidRDefault="001B2BB9" w:rsidP="001B2BB9">
            <w:pPr>
              <w:jc w:val="center"/>
              <w:rPr>
                <w:rFonts w:asciiTheme="majorHAnsi" w:hAnsiTheme="majorHAnsi" w:cstheme="majorHAnsi"/>
                <w:sz w:val="22"/>
                <w:szCs w:val="22"/>
              </w:rPr>
            </w:pPr>
            <w:r w:rsidRPr="002F4862">
              <w:rPr>
                <w:rFonts w:asciiTheme="majorHAnsi" w:hAnsiTheme="majorHAnsi" w:cstheme="majorHAnsi"/>
                <w:sz w:val="22"/>
                <w:szCs w:val="22"/>
              </w:rPr>
              <w:t>n/a</w:t>
            </w:r>
          </w:p>
        </w:tc>
      </w:tr>
      <w:tr w:rsidR="00573C9D" w14:paraId="62ADDAF1"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CFD012" w14:textId="45D083BB" w:rsidR="00573C9D" w:rsidRPr="0012481F" w:rsidRDefault="00573C9D" w:rsidP="00A46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6E2870" w14:textId="6B5A6683" w:rsidR="00573C9D" w:rsidRPr="0012481F" w:rsidRDefault="00573C9D" w:rsidP="00573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125217" w14:textId="061B97AB"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E40A82" w14:textId="6B963A22"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73E203" w14:textId="7D412156"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B25D2F" w14:textId="46A8CB2A"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r>
      <w:tr w:rsidR="00573C9D" w14:paraId="25E0FDAA"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0F4ED8" w14:textId="5486EBE3" w:rsidR="00573C9D" w:rsidRPr="0012481F" w:rsidRDefault="00573C9D" w:rsidP="00A46C9D">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5096B3" w14:textId="5714574E"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B22FE4" w14:textId="42661E22"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E3EFA7" w14:textId="629ECD2D"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6DD1DB" w14:textId="0132147D"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187F85" w14:textId="7948AA6A" w:rsidR="00573C9D" w:rsidRPr="0012481F" w:rsidRDefault="00573C9D" w:rsidP="0012481F">
            <w:pPr>
              <w:jc w:val="center"/>
              <w:rPr>
                <w:rFonts w:asciiTheme="majorHAnsi" w:hAnsiTheme="majorHAnsi" w:cstheme="majorHAnsi"/>
                <w:sz w:val="22"/>
                <w:szCs w:val="22"/>
              </w:rPr>
            </w:pPr>
            <w:r w:rsidRPr="002F4862">
              <w:rPr>
                <w:rFonts w:asciiTheme="majorHAnsi" w:hAnsiTheme="majorHAnsi" w:cstheme="majorHAnsi"/>
                <w:sz w:val="22"/>
                <w:szCs w:val="22"/>
              </w:rPr>
              <w:t>n/a</w:t>
            </w:r>
          </w:p>
        </w:tc>
      </w:tr>
    </w:tbl>
    <w:p w14:paraId="3C393903" w14:textId="2AB6CA37" w:rsidR="00EF74F4" w:rsidRDefault="00EF74F4" w:rsidP="00092D07">
      <w:pPr>
        <w:rPr>
          <w:rFonts w:asciiTheme="majorHAnsi" w:hAnsiTheme="majorHAnsi" w:cstheme="majorHAnsi"/>
          <w:sz w:val="22"/>
          <w:szCs w:val="22"/>
        </w:rPr>
      </w:pPr>
    </w:p>
    <w:p w14:paraId="66DF5C74" w14:textId="77777777" w:rsidR="0012481F" w:rsidRDefault="0012481F" w:rsidP="0012481F">
      <w:pPr>
        <w:ind w:left="-709"/>
        <w:jc w:val="both"/>
        <w:rPr>
          <w:rFonts w:asciiTheme="majorHAnsi" w:hAnsiTheme="majorHAnsi" w:cstheme="majorHAnsi"/>
          <w:sz w:val="22"/>
          <w:szCs w:val="22"/>
        </w:rPr>
      </w:pPr>
    </w:p>
    <w:p w14:paraId="79276D24" w14:textId="77777777" w:rsidR="00F965BB" w:rsidRDefault="00F965BB" w:rsidP="0012481F">
      <w:pPr>
        <w:ind w:left="-709"/>
        <w:jc w:val="both"/>
        <w:rPr>
          <w:rFonts w:asciiTheme="majorHAnsi" w:hAnsiTheme="majorHAnsi" w:cstheme="majorHAnsi"/>
          <w:sz w:val="22"/>
          <w:szCs w:val="22"/>
        </w:rPr>
      </w:pPr>
    </w:p>
    <w:p w14:paraId="2AC22C8F" w14:textId="1C05403E" w:rsidR="00092D07" w:rsidRDefault="00092D07" w:rsidP="001A2FAF">
      <w:pPr>
        <w:ind w:left="-709"/>
        <w:jc w:val="both"/>
        <w:rPr>
          <w:rFonts w:asciiTheme="majorHAnsi" w:hAnsiTheme="majorHAnsi" w:cstheme="majorHAnsi"/>
          <w:sz w:val="22"/>
          <w:szCs w:val="22"/>
        </w:rPr>
      </w:pPr>
      <w:r>
        <w:rPr>
          <w:rFonts w:asciiTheme="majorHAnsi" w:hAnsiTheme="majorHAnsi" w:cstheme="majorHAnsi"/>
          <w:sz w:val="22"/>
          <w:szCs w:val="22"/>
        </w:rPr>
        <w:t xml:space="preserve">The execution factors considered, in order of importance, </w:t>
      </w:r>
      <w:r w:rsidR="001E2ACB">
        <w:rPr>
          <w:rFonts w:asciiTheme="majorHAnsi" w:hAnsiTheme="majorHAnsi" w:cstheme="majorHAnsi"/>
          <w:sz w:val="22"/>
          <w:szCs w:val="22"/>
        </w:rPr>
        <w:t>were</w:t>
      </w:r>
      <w:r>
        <w:rPr>
          <w:rFonts w:asciiTheme="majorHAnsi" w:hAnsiTheme="majorHAnsi" w:cstheme="majorHAnsi"/>
          <w:sz w:val="22"/>
          <w:szCs w:val="22"/>
        </w:rPr>
        <w:t>:</w:t>
      </w:r>
    </w:p>
    <w:p w14:paraId="4A8FF6CB" w14:textId="37AF67C3" w:rsidR="00092D07" w:rsidRDefault="00092D07" w:rsidP="0012481F">
      <w:pPr>
        <w:ind w:left="-709"/>
        <w:jc w:val="both"/>
        <w:rPr>
          <w:rFonts w:asciiTheme="majorHAnsi" w:hAnsiTheme="majorHAnsi" w:cstheme="majorHAnsi"/>
          <w:sz w:val="22"/>
          <w:szCs w:val="22"/>
        </w:rPr>
      </w:pPr>
    </w:p>
    <w:p w14:paraId="4CBC8DE3" w14:textId="77777777" w:rsidR="005B2A97" w:rsidRDefault="005B2A97" w:rsidP="005B2A97">
      <w:pPr>
        <w:jc w:val="both"/>
        <w:rPr>
          <w:rFonts w:asciiTheme="majorHAnsi" w:hAnsiTheme="majorHAnsi" w:cstheme="majorHAnsi"/>
          <w:sz w:val="22"/>
          <w:szCs w:val="22"/>
        </w:rPr>
      </w:pPr>
    </w:p>
    <w:p w14:paraId="789C1AD3" w14:textId="77777777" w:rsidR="005B2A97" w:rsidRPr="001A2FAF" w:rsidRDefault="005B2A97" w:rsidP="001A2FAF">
      <w:pPr>
        <w:pStyle w:val="ListParagraph"/>
        <w:numPr>
          <w:ilvl w:val="0"/>
          <w:numId w:val="41"/>
        </w:numPr>
        <w:jc w:val="both"/>
        <w:rPr>
          <w:rFonts w:asciiTheme="majorHAnsi" w:hAnsiTheme="majorHAnsi" w:cstheme="majorHAnsi"/>
          <w:sz w:val="22"/>
          <w:szCs w:val="22"/>
        </w:rPr>
      </w:pPr>
      <w:r w:rsidRPr="001A2FAF">
        <w:rPr>
          <w:rFonts w:asciiTheme="majorHAnsi" w:hAnsiTheme="majorHAnsi" w:cstheme="majorHAnsi"/>
          <w:sz w:val="22"/>
          <w:szCs w:val="22"/>
        </w:rPr>
        <w:t>Likelihood of execution and settlement</w:t>
      </w:r>
    </w:p>
    <w:p w14:paraId="17BDF6EF" w14:textId="77777777" w:rsidR="005B2A97" w:rsidRPr="001A2FAF" w:rsidRDefault="005B2A97" w:rsidP="001A2FAF">
      <w:pPr>
        <w:pStyle w:val="ListParagraph"/>
        <w:numPr>
          <w:ilvl w:val="0"/>
          <w:numId w:val="41"/>
        </w:numPr>
        <w:jc w:val="both"/>
        <w:rPr>
          <w:rFonts w:asciiTheme="majorHAnsi" w:hAnsiTheme="majorHAnsi" w:cstheme="majorHAnsi"/>
          <w:sz w:val="22"/>
          <w:szCs w:val="22"/>
        </w:rPr>
      </w:pPr>
      <w:r w:rsidRPr="001A2FAF">
        <w:rPr>
          <w:rFonts w:asciiTheme="majorHAnsi" w:hAnsiTheme="majorHAnsi" w:cstheme="majorHAnsi"/>
          <w:sz w:val="22"/>
          <w:szCs w:val="22"/>
        </w:rPr>
        <w:t>Price and size</w:t>
      </w:r>
    </w:p>
    <w:p w14:paraId="6DB6E00D" w14:textId="77777777" w:rsidR="005B2A97" w:rsidRDefault="005B2A97" w:rsidP="005B2A97">
      <w:pPr>
        <w:jc w:val="both"/>
        <w:rPr>
          <w:rFonts w:asciiTheme="majorHAnsi" w:hAnsiTheme="majorHAnsi" w:cstheme="majorHAnsi"/>
          <w:sz w:val="22"/>
          <w:szCs w:val="22"/>
        </w:rPr>
      </w:pPr>
    </w:p>
    <w:p w14:paraId="0D918324" w14:textId="1ED49DE3" w:rsidR="00F5014D" w:rsidRDefault="00F5014D" w:rsidP="0012481F">
      <w:pPr>
        <w:ind w:left="-709"/>
        <w:jc w:val="both"/>
        <w:rPr>
          <w:rFonts w:asciiTheme="majorHAnsi" w:hAnsiTheme="majorHAnsi" w:cstheme="majorHAnsi"/>
          <w:sz w:val="22"/>
          <w:szCs w:val="22"/>
        </w:rPr>
      </w:pPr>
    </w:p>
    <w:p w14:paraId="21AD3E8E" w14:textId="17FA4F3D" w:rsidR="00F5014D" w:rsidRDefault="00F5014D" w:rsidP="0012481F">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1C834855" w14:textId="77777777" w:rsidR="00F5014D" w:rsidRDefault="00F5014D" w:rsidP="0012481F">
      <w:pPr>
        <w:ind w:left="-709"/>
        <w:jc w:val="both"/>
        <w:rPr>
          <w:rFonts w:asciiTheme="majorHAnsi" w:hAnsiTheme="majorHAnsi" w:cstheme="majorHAnsi"/>
          <w:sz w:val="22"/>
          <w:szCs w:val="22"/>
        </w:rPr>
      </w:pPr>
    </w:p>
    <w:p w14:paraId="09FB567B" w14:textId="6181D849" w:rsidR="00F5014D" w:rsidRPr="00F5014D" w:rsidRDefault="00F5014D" w:rsidP="0012481F">
      <w:pPr>
        <w:ind w:left="-709"/>
        <w:jc w:val="both"/>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w:t>
      </w:r>
      <w:r w:rsidR="00956226">
        <w:rPr>
          <w:rFonts w:asciiTheme="majorHAnsi" w:hAnsiTheme="majorHAnsi" w:cstheme="majorHAnsi"/>
          <w:sz w:val="22"/>
          <w:szCs w:val="22"/>
        </w:rPr>
        <w:t>aspects</w:t>
      </w:r>
      <w:r>
        <w:rPr>
          <w:rFonts w:asciiTheme="majorHAnsi" w:hAnsiTheme="majorHAnsi" w:cstheme="majorHAnsi"/>
          <w:sz w:val="22"/>
          <w:szCs w:val="22"/>
        </w:rPr>
        <w:t xml:space="preserve"> of trading Fixed</w:t>
      </w:r>
      <w:r w:rsidR="00112AF1">
        <w:rPr>
          <w:rFonts w:asciiTheme="majorHAnsi" w:hAnsiTheme="majorHAnsi" w:cstheme="majorHAnsi"/>
          <w:sz w:val="22"/>
          <w:szCs w:val="22"/>
        </w:rPr>
        <w:t xml:space="preserve"> Income. Generally, we use</w:t>
      </w:r>
      <w:r w:rsidR="006A4473">
        <w:rPr>
          <w:rFonts w:asciiTheme="majorHAnsi" w:hAnsiTheme="majorHAnsi" w:cstheme="majorHAnsi"/>
          <w:sz w:val="22"/>
          <w:szCs w:val="22"/>
        </w:rPr>
        <w:t xml:space="preserve"> Multi-Lateral Trading Facilities</w:t>
      </w:r>
      <w:r w:rsidR="00112AF1">
        <w:rPr>
          <w:rFonts w:asciiTheme="majorHAnsi" w:hAnsiTheme="majorHAnsi" w:cstheme="majorHAnsi"/>
          <w:sz w:val="22"/>
          <w:szCs w:val="22"/>
        </w:rPr>
        <w:t xml:space="preserve"> </w:t>
      </w:r>
      <w:r w:rsidR="006A4473">
        <w:rPr>
          <w:rFonts w:asciiTheme="majorHAnsi" w:hAnsiTheme="majorHAnsi" w:cstheme="majorHAnsi"/>
          <w:sz w:val="22"/>
          <w:szCs w:val="22"/>
        </w:rPr>
        <w:t>(</w:t>
      </w:r>
      <w:r w:rsidR="00112AF1">
        <w:rPr>
          <w:rFonts w:asciiTheme="majorHAnsi" w:hAnsiTheme="majorHAnsi" w:cstheme="majorHAnsi"/>
          <w:sz w:val="22"/>
          <w:szCs w:val="22"/>
        </w:rPr>
        <w:t>MTF</w:t>
      </w:r>
      <w:r>
        <w:rPr>
          <w:rFonts w:asciiTheme="majorHAnsi" w:hAnsiTheme="majorHAnsi" w:cstheme="majorHAnsi"/>
          <w:sz w:val="22"/>
          <w:szCs w:val="22"/>
        </w:rPr>
        <w:t>s</w:t>
      </w:r>
      <w:r w:rsidR="006A4473">
        <w:rPr>
          <w:rFonts w:asciiTheme="majorHAnsi" w:hAnsiTheme="majorHAnsi" w:cstheme="majorHAnsi"/>
          <w:sz w:val="22"/>
          <w:szCs w:val="22"/>
        </w:rPr>
        <w:t>)</w:t>
      </w:r>
      <w:r>
        <w:rPr>
          <w:rFonts w:asciiTheme="majorHAnsi" w:hAnsiTheme="majorHAnsi" w:cstheme="majorHAnsi"/>
          <w:sz w:val="22"/>
          <w:szCs w:val="22"/>
        </w:rPr>
        <w:t xml:space="preserve"> as they provide a better price discovery function.</w:t>
      </w:r>
    </w:p>
    <w:p w14:paraId="4178716E" w14:textId="107E4738" w:rsidR="00092D07" w:rsidRDefault="00092D07" w:rsidP="0012481F">
      <w:pPr>
        <w:ind w:left="-709"/>
        <w:jc w:val="both"/>
        <w:rPr>
          <w:rFonts w:asciiTheme="majorHAnsi" w:hAnsiTheme="majorHAnsi" w:cstheme="majorHAnsi"/>
          <w:sz w:val="22"/>
          <w:szCs w:val="22"/>
        </w:rPr>
      </w:pPr>
      <w:r>
        <w:rPr>
          <w:rFonts w:asciiTheme="majorHAnsi" w:hAnsiTheme="majorHAnsi" w:cstheme="majorHAnsi"/>
          <w:sz w:val="22"/>
          <w:szCs w:val="22"/>
        </w:rPr>
        <w:t xml:space="preserve"> </w:t>
      </w:r>
    </w:p>
    <w:p w14:paraId="577EE7C3" w14:textId="3A8E1B6D" w:rsidR="001D0C4D" w:rsidRDefault="001D0C4D" w:rsidP="00092D07">
      <w:pPr>
        <w:rPr>
          <w:rFonts w:asciiTheme="majorHAnsi" w:hAnsiTheme="majorHAnsi" w:cstheme="majorHAnsi"/>
          <w:sz w:val="22"/>
          <w:szCs w:val="22"/>
        </w:rPr>
      </w:pPr>
    </w:p>
    <w:p w14:paraId="78BEFA8A" w14:textId="519E6715" w:rsidR="001D0C4D" w:rsidRDefault="001D0C4D" w:rsidP="00092D07">
      <w:pPr>
        <w:rPr>
          <w:rFonts w:asciiTheme="majorHAnsi" w:hAnsiTheme="majorHAnsi" w:cstheme="majorHAnsi"/>
          <w:sz w:val="22"/>
          <w:szCs w:val="22"/>
        </w:rPr>
      </w:pPr>
    </w:p>
    <w:p w14:paraId="44E580A6" w14:textId="338528FC" w:rsidR="001D0C4D" w:rsidRDefault="001D0C4D" w:rsidP="00092D07">
      <w:pPr>
        <w:rPr>
          <w:rFonts w:asciiTheme="majorHAnsi" w:hAnsiTheme="majorHAnsi" w:cstheme="majorHAnsi"/>
          <w:sz w:val="22"/>
          <w:szCs w:val="22"/>
        </w:rPr>
      </w:pPr>
    </w:p>
    <w:p w14:paraId="6663F1F6" w14:textId="77777777" w:rsidR="004C6D7E" w:rsidRDefault="004C6D7E" w:rsidP="00092D07">
      <w:pPr>
        <w:rPr>
          <w:rFonts w:asciiTheme="majorHAnsi" w:hAnsiTheme="majorHAnsi" w:cstheme="majorHAnsi"/>
          <w:sz w:val="22"/>
          <w:szCs w:val="22"/>
        </w:rPr>
      </w:pPr>
    </w:p>
    <w:p w14:paraId="23465717" w14:textId="77777777" w:rsidR="004C6D7E" w:rsidRDefault="004C6D7E" w:rsidP="00092D07">
      <w:pPr>
        <w:rPr>
          <w:rFonts w:asciiTheme="majorHAnsi" w:hAnsiTheme="majorHAnsi" w:cstheme="majorHAnsi"/>
          <w:sz w:val="22"/>
          <w:szCs w:val="22"/>
        </w:rPr>
      </w:pPr>
    </w:p>
    <w:p w14:paraId="5C87D656" w14:textId="77777777" w:rsidR="004C6D7E" w:rsidRDefault="004C6D7E" w:rsidP="00092D07">
      <w:pPr>
        <w:rPr>
          <w:rFonts w:asciiTheme="majorHAnsi" w:hAnsiTheme="majorHAnsi" w:cstheme="majorHAnsi"/>
          <w:sz w:val="22"/>
          <w:szCs w:val="22"/>
        </w:rPr>
      </w:pPr>
    </w:p>
    <w:p w14:paraId="623677EF" w14:textId="77777777" w:rsidR="004C6D7E" w:rsidRDefault="004C6D7E" w:rsidP="00092D07">
      <w:pPr>
        <w:rPr>
          <w:rFonts w:asciiTheme="majorHAnsi" w:hAnsiTheme="majorHAnsi" w:cstheme="majorHAnsi"/>
          <w:sz w:val="22"/>
          <w:szCs w:val="22"/>
        </w:rPr>
      </w:pPr>
    </w:p>
    <w:p w14:paraId="5EA3EBBB" w14:textId="77777777" w:rsidR="004C6D7E" w:rsidRDefault="004C6D7E" w:rsidP="00092D07">
      <w:pPr>
        <w:rPr>
          <w:rFonts w:asciiTheme="majorHAnsi" w:hAnsiTheme="majorHAnsi" w:cstheme="majorHAnsi"/>
          <w:sz w:val="22"/>
          <w:szCs w:val="22"/>
        </w:rPr>
      </w:pPr>
    </w:p>
    <w:p w14:paraId="519751F4" w14:textId="77777777" w:rsidR="004C6D7E" w:rsidRDefault="004C6D7E" w:rsidP="00092D07">
      <w:pPr>
        <w:rPr>
          <w:rFonts w:asciiTheme="majorHAnsi" w:hAnsiTheme="majorHAnsi" w:cstheme="majorHAnsi"/>
          <w:sz w:val="22"/>
          <w:szCs w:val="22"/>
        </w:rPr>
      </w:pPr>
    </w:p>
    <w:p w14:paraId="352FE27F" w14:textId="77777777" w:rsidR="004C6D7E" w:rsidRDefault="004C6D7E" w:rsidP="00092D07">
      <w:pPr>
        <w:rPr>
          <w:rFonts w:asciiTheme="majorHAnsi" w:hAnsiTheme="majorHAnsi" w:cstheme="majorHAnsi"/>
          <w:sz w:val="22"/>
          <w:szCs w:val="22"/>
        </w:rPr>
      </w:pPr>
    </w:p>
    <w:p w14:paraId="0910E859" w14:textId="77777777" w:rsidR="004C6D7E" w:rsidRDefault="004C6D7E" w:rsidP="00092D07">
      <w:pPr>
        <w:rPr>
          <w:rFonts w:asciiTheme="majorHAnsi" w:hAnsiTheme="majorHAnsi" w:cstheme="majorHAnsi"/>
          <w:sz w:val="22"/>
          <w:szCs w:val="22"/>
        </w:rPr>
      </w:pPr>
    </w:p>
    <w:p w14:paraId="68AE5960" w14:textId="77777777" w:rsidR="004C6D7E" w:rsidRDefault="004C6D7E" w:rsidP="00092D07">
      <w:pPr>
        <w:rPr>
          <w:rFonts w:asciiTheme="majorHAnsi" w:hAnsiTheme="majorHAnsi" w:cstheme="majorHAnsi"/>
          <w:sz w:val="22"/>
          <w:szCs w:val="22"/>
        </w:rPr>
      </w:pPr>
    </w:p>
    <w:p w14:paraId="03A796D0" w14:textId="77777777" w:rsidR="004C6D7E" w:rsidRDefault="004C6D7E" w:rsidP="00092D07">
      <w:pPr>
        <w:rPr>
          <w:rFonts w:asciiTheme="majorHAnsi" w:hAnsiTheme="majorHAnsi" w:cstheme="majorHAnsi"/>
          <w:sz w:val="22"/>
          <w:szCs w:val="22"/>
        </w:rPr>
      </w:pPr>
    </w:p>
    <w:p w14:paraId="4F51625C" w14:textId="77777777" w:rsidR="004C6D7E" w:rsidRDefault="004C6D7E" w:rsidP="00092D07">
      <w:pPr>
        <w:rPr>
          <w:rFonts w:asciiTheme="majorHAnsi" w:hAnsiTheme="majorHAnsi" w:cstheme="majorHAnsi"/>
          <w:sz w:val="22"/>
          <w:szCs w:val="22"/>
        </w:rPr>
      </w:pPr>
    </w:p>
    <w:p w14:paraId="16822CBB" w14:textId="0ABCE27E" w:rsidR="001D0C4D" w:rsidRDefault="001D0C4D" w:rsidP="00092D07">
      <w:pPr>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6E55AB" w14:paraId="55FE0F56" w14:textId="77777777" w:rsidTr="006E55AB">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79DE294B"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AE31DE0" w14:textId="4D5360B4" w:rsidR="006E55AB" w:rsidRPr="00C55BC5" w:rsidRDefault="006E55AB" w:rsidP="00573C9D">
            <w:pPr>
              <w:rPr>
                <w:rFonts w:asciiTheme="majorHAnsi" w:hAnsiTheme="majorHAnsi" w:cstheme="majorHAnsi"/>
                <w:sz w:val="22"/>
                <w:szCs w:val="22"/>
              </w:rPr>
            </w:pPr>
            <w:r w:rsidRPr="00C55BC5">
              <w:rPr>
                <w:rFonts w:asciiTheme="majorHAnsi" w:hAnsiTheme="majorHAnsi" w:cstheme="majorHAnsi"/>
                <w:sz w:val="22"/>
                <w:szCs w:val="22"/>
              </w:rPr>
              <w:t>Debt instruments</w:t>
            </w:r>
            <w:r>
              <w:rPr>
                <w:rFonts w:asciiTheme="majorHAnsi" w:hAnsiTheme="majorHAnsi" w:cstheme="majorHAnsi"/>
                <w:sz w:val="22"/>
                <w:szCs w:val="22"/>
              </w:rPr>
              <w:t>: Money Markets</w:t>
            </w:r>
          </w:p>
        </w:tc>
      </w:tr>
      <w:tr w:rsidR="006E55AB" w14:paraId="722C6213" w14:textId="77777777" w:rsidTr="006E55AB">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E9F44D7"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0A37B" w14:textId="56F53840" w:rsidR="006E55AB" w:rsidRPr="00CF3001" w:rsidRDefault="006E55AB" w:rsidP="001A2FAF">
            <w:pPr>
              <w:rPr>
                <w:rFonts w:asciiTheme="majorHAnsi" w:hAnsiTheme="majorHAnsi" w:cstheme="majorHAnsi"/>
                <w:sz w:val="22"/>
                <w:szCs w:val="22"/>
              </w:rPr>
            </w:pPr>
            <w:r>
              <w:rPr>
                <w:rFonts w:asciiTheme="majorHAnsi" w:hAnsiTheme="majorHAnsi" w:cstheme="majorHAnsi"/>
                <w:sz w:val="22"/>
                <w:szCs w:val="22"/>
              </w:rPr>
              <w:t>Y</w:t>
            </w:r>
            <w:r w:rsidR="001A2FAF">
              <w:rPr>
                <w:rFonts w:asciiTheme="majorHAnsi" w:hAnsiTheme="majorHAnsi" w:cstheme="majorHAnsi"/>
                <w:sz w:val="22"/>
                <w:szCs w:val="22"/>
              </w:rPr>
              <w:t>es</w:t>
            </w:r>
          </w:p>
        </w:tc>
      </w:tr>
      <w:tr w:rsidR="006E55AB" w14:paraId="6BAE014E" w14:textId="77777777" w:rsidTr="006E55AB">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BB5C2E" w14:textId="77777777" w:rsidR="006E55AB" w:rsidRPr="00CF3001" w:rsidRDefault="006E55AB" w:rsidP="006E55AB">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CC0C21"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FA2967"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131EF9"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980608"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62C3700" w14:textId="77777777" w:rsidR="006E55AB" w:rsidRPr="00CF3001" w:rsidRDefault="006E55AB" w:rsidP="006E55AB">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946C987" w14:textId="77777777" w:rsidR="006E55AB" w:rsidRPr="00CF3001" w:rsidRDefault="006E55AB" w:rsidP="006E55AB">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DD5103" w14:paraId="601F7C2A" w14:textId="77777777" w:rsidTr="00A46C9D">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F8D892C" w14:textId="77777777" w:rsidR="00E93474" w:rsidRDefault="00E93474" w:rsidP="00E93474">
            <w:pPr>
              <w:rPr>
                <w:rFonts w:asciiTheme="majorHAnsi" w:hAnsiTheme="majorHAnsi" w:cstheme="majorHAnsi"/>
                <w:sz w:val="22"/>
                <w:szCs w:val="22"/>
              </w:rPr>
            </w:pPr>
            <w:r w:rsidRPr="0012481F">
              <w:rPr>
                <w:rFonts w:asciiTheme="majorHAnsi" w:hAnsiTheme="majorHAnsi" w:cstheme="majorHAnsi"/>
                <w:sz w:val="22"/>
                <w:szCs w:val="22"/>
              </w:rPr>
              <w:t>Winterflood Gilts Limited</w:t>
            </w:r>
          </w:p>
          <w:p w14:paraId="3664F712" w14:textId="592AAB87" w:rsidR="00DD5103" w:rsidRDefault="00E93474" w:rsidP="00E93474">
            <w:pPr>
              <w:rPr>
                <w:rFonts w:asciiTheme="majorHAnsi" w:hAnsiTheme="majorHAnsi" w:cstheme="majorHAnsi"/>
                <w:sz w:val="22"/>
                <w:szCs w:val="22"/>
              </w:rPr>
            </w:pPr>
            <w:r w:rsidRPr="00F92789">
              <w:rPr>
                <w:rFonts w:asciiTheme="majorHAnsi" w:hAnsiTheme="majorHAnsi" w:cstheme="majorHAnsi" w:hint="eastAsia"/>
                <w:sz w:val="20"/>
                <w:szCs w:val="20"/>
              </w:rPr>
              <w:t>LEI Code 213800BD519H2YV9R748</w:t>
            </w:r>
          </w:p>
          <w:p w14:paraId="0D74EF32" w14:textId="7917DDAE" w:rsidR="00DD5103" w:rsidRPr="00CF3001" w:rsidRDefault="00DD5103" w:rsidP="00DD5103">
            <w:pPr>
              <w:rPr>
                <w:rFonts w:asciiTheme="majorHAnsi" w:hAnsiTheme="majorHAnsi" w:cstheme="majorHAnsi"/>
                <w:sz w:val="22"/>
                <w:szCs w:val="22"/>
              </w:rPr>
            </w:pP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A090D2E" w14:textId="117321B2" w:rsidR="00DD5103" w:rsidRPr="00CF3001" w:rsidRDefault="001B2BB9" w:rsidP="00DD5103">
            <w:pPr>
              <w:jc w:val="center"/>
              <w:rPr>
                <w:rFonts w:asciiTheme="majorHAnsi" w:hAnsiTheme="majorHAnsi" w:cstheme="majorHAnsi"/>
                <w:sz w:val="22"/>
                <w:szCs w:val="22"/>
              </w:rPr>
            </w:pPr>
            <w:r>
              <w:rPr>
                <w:rFonts w:asciiTheme="majorHAnsi" w:hAnsiTheme="majorHAnsi" w:cstheme="majorHAnsi"/>
                <w:sz w:val="22"/>
                <w:szCs w:val="22"/>
              </w:rPr>
              <w:t>67.04</w:t>
            </w:r>
            <w:r w:rsidR="00DD5103" w:rsidRPr="0012481F">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84B8A82" w14:textId="6CA83E10" w:rsidR="00DD5103" w:rsidRPr="00CF3001" w:rsidRDefault="001B2BB9" w:rsidP="00DD5103">
            <w:pPr>
              <w:jc w:val="center"/>
              <w:rPr>
                <w:rFonts w:asciiTheme="majorHAnsi" w:hAnsiTheme="majorHAnsi" w:cstheme="majorHAnsi"/>
                <w:sz w:val="22"/>
                <w:szCs w:val="22"/>
              </w:rPr>
            </w:pPr>
            <w:r>
              <w:rPr>
                <w:rFonts w:asciiTheme="majorHAnsi" w:hAnsiTheme="majorHAnsi" w:cstheme="majorHAnsi"/>
                <w:sz w:val="22"/>
                <w:szCs w:val="22"/>
              </w:rPr>
              <w:t>75.00</w:t>
            </w:r>
            <w:r w:rsidR="00DD5103" w:rsidRPr="0012481F">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50D6D2C" w14:textId="0D0B94D0" w:rsidR="00DD5103" w:rsidRPr="00CF3001" w:rsidRDefault="00A46C9D"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F2229EC" w14:textId="1058AC68" w:rsidR="00DD5103" w:rsidRPr="00CF3001" w:rsidRDefault="00A46C9D" w:rsidP="00A46C9D">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CAEFCA7" w14:textId="294CFC9F" w:rsidR="00DD5103" w:rsidRPr="00CF3001" w:rsidRDefault="00DD5103" w:rsidP="00A46C9D">
            <w:pPr>
              <w:jc w:val="center"/>
              <w:rPr>
                <w:rFonts w:asciiTheme="majorHAnsi" w:hAnsiTheme="majorHAnsi" w:cstheme="majorHAnsi"/>
                <w:sz w:val="22"/>
                <w:szCs w:val="22"/>
              </w:rPr>
            </w:pPr>
            <w:r>
              <w:rPr>
                <w:rFonts w:asciiTheme="majorHAnsi" w:hAnsiTheme="majorHAnsi" w:cstheme="majorHAnsi"/>
                <w:sz w:val="22"/>
                <w:szCs w:val="22"/>
              </w:rPr>
              <w:t>0%</w:t>
            </w:r>
          </w:p>
        </w:tc>
      </w:tr>
      <w:tr w:rsidR="001B2BB9" w14:paraId="49CC5F00" w14:textId="77777777" w:rsidTr="00865F6A">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A4725A" w14:textId="77777777" w:rsidR="001B2BB9" w:rsidRPr="001A2FAF" w:rsidRDefault="001B2BB9" w:rsidP="001B2BB9">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32EB4DDF" w14:textId="40C3DBE2" w:rsidR="001B2BB9" w:rsidRPr="00CF3001" w:rsidRDefault="001B2BB9" w:rsidP="001A2FAF">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172C19" w14:textId="02C3DC65" w:rsidR="001B2BB9" w:rsidRPr="00CF3001" w:rsidRDefault="001B2BB9" w:rsidP="001B2BB9">
            <w:pPr>
              <w:jc w:val="center"/>
              <w:rPr>
                <w:rFonts w:asciiTheme="majorHAnsi" w:hAnsiTheme="majorHAnsi" w:cstheme="majorHAnsi"/>
                <w:sz w:val="22"/>
                <w:szCs w:val="22"/>
              </w:rPr>
            </w:pPr>
            <w:r>
              <w:rPr>
                <w:rFonts w:asciiTheme="majorHAnsi" w:hAnsiTheme="majorHAnsi" w:cstheme="majorHAnsi"/>
                <w:sz w:val="22"/>
                <w:szCs w:val="22"/>
              </w:rPr>
              <w:t>32.96</w:t>
            </w:r>
            <w:r w:rsidR="00DC65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036484" w14:textId="0CD3988A" w:rsidR="001B2BB9" w:rsidRPr="00CF3001" w:rsidRDefault="001B2BB9" w:rsidP="001B2BB9">
            <w:pPr>
              <w:jc w:val="center"/>
              <w:rPr>
                <w:rFonts w:asciiTheme="majorHAnsi" w:hAnsiTheme="majorHAnsi" w:cstheme="majorHAnsi"/>
                <w:sz w:val="22"/>
                <w:szCs w:val="22"/>
              </w:rPr>
            </w:pPr>
            <w:r>
              <w:rPr>
                <w:rFonts w:asciiTheme="majorHAnsi" w:hAnsiTheme="majorHAnsi" w:cstheme="majorHAnsi"/>
                <w:sz w:val="22"/>
                <w:szCs w:val="22"/>
              </w:rPr>
              <w:t>25.00%</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3406F4" w14:textId="6B55F394"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FB80CD" w14:textId="5F0B9CA5"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89213A" w14:textId="59246049" w:rsidR="001B2BB9" w:rsidRPr="00CF3001" w:rsidRDefault="001B2BB9" w:rsidP="001B2BB9">
            <w:pPr>
              <w:jc w:val="center"/>
              <w:rPr>
                <w:rFonts w:asciiTheme="majorHAnsi" w:hAnsiTheme="majorHAnsi" w:cstheme="majorHAnsi"/>
                <w:sz w:val="22"/>
                <w:szCs w:val="22"/>
              </w:rPr>
            </w:pPr>
            <w:r>
              <w:rPr>
                <w:rFonts w:asciiTheme="majorHAnsi" w:hAnsiTheme="majorHAnsi" w:cstheme="majorHAnsi"/>
                <w:sz w:val="22"/>
                <w:szCs w:val="22"/>
              </w:rPr>
              <w:t>0%</w:t>
            </w:r>
          </w:p>
        </w:tc>
      </w:tr>
      <w:tr w:rsidR="001B2BB9" w14:paraId="21FFD466"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654DEE" w14:textId="494FDD19"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6B6F84" w14:textId="1F61B23F"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A1DC70" w14:textId="044D0754"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92AB73" w14:textId="5B6E5486"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C830E0" w14:textId="5B854E64"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07A989" w14:textId="1E4AE5F0" w:rsidR="001B2BB9" w:rsidRPr="00CF3001"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r>
      <w:tr w:rsidR="001B2BB9" w14:paraId="695C5578"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841F8C" w14:textId="4FE9E94D"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BB3D89" w14:textId="01FFDC01"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349E63" w14:textId="1A1EC928"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AD3234" w14:textId="32AD77C4"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6BC07E" w14:textId="241D341D"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C4862E" w14:textId="3A63D7EB"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r>
      <w:tr w:rsidR="001B2BB9" w14:paraId="10A88BA9" w14:textId="77777777" w:rsidTr="00F92789">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47D6BB" w14:textId="5AC28A13"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057A41" w14:textId="4FA7BFEB"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3003E7" w14:textId="2A17BA61"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128B28" w14:textId="43D860EF"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71805B" w14:textId="0F64F196"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560271" w14:textId="235F20E6" w:rsidR="001B2BB9" w:rsidRPr="0012481F" w:rsidRDefault="001B2BB9" w:rsidP="001B2BB9">
            <w:pPr>
              <w:jc w:val="center"/>
              <w:rPr>
                <w:rFonts w:asciiTheme="majorHAnsi" w:hAnsiTheme="majorHAnsi" w:cstheme="majorHAnsi"/>
                <w:sz w:val="22"/>
                <w:szCs w:val="22"/>
              </w:rPr>
            </w:pPr>
            <w:r w:rsidRPr="00035FE7">
              <w:rPr>
                <w:rFonts w:asciiTheme="majorHAnsi" w:hAnsiTheme="majorHAnsi" w:cstheme="majorHAnsi"/>
                <w:sz w:val="22"/>
                <w:szCs w:val="22"/>
              </w:rPr>
              <w:t>n/a</w:t>
            </w:r>
          </w:p>
        </w:tc>
      </w:tr>
    </w:tbl>
    <w:p w14:paraId="7D758B1C" w14:textId="77777777" w:rsidR="00C601D5" w:rsidRDefault="00C601D5" w:rsidP="00092D07">
      <w:pPr>
        <w:rPr>
          <w:rFonts w:asciiTheme="majorHAnsi" w:hAnsiTheme="majorHAnsi" w:cstheme="majorHAnsi"/>
          <w:sz w:val="22"/>
          <w:szCs w:val="22"/>
        </w:rPr>
      </w:pPr>
    </w:p>
    <w:p w14:paraId="21669E46" w14:textId="77777777" w:rsidR="00C601D5" w:rsidRDefault="00C601D5" w:rsidP="00092D07">
      <w:pPr>
        <w:rPr>
          <w:rFonts w:asciiTheme="majorHAnsi" w:hAnsiTheme="majorHAnsi" w:cstheme="majorHAnsi"/>
          <w:sz w:val="22"/>
          <w:szCs w:val="22"/>
        </w:rPr>
      </w:pPr>
    </w:p>
    <w:p w14:paraId="60D60071" w14:textId="77777777" w:rsidR="006E55AB"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0CDBE2D2" w14:textId="77777777" w:rsidR="006E55AB" w:rsidRDefault="006E55AB" w:rsidP="006E55AB">
      <w:pPr>
        <w:ind w:left="-709"/>
        <w:jc w:val="both"/>
        <w:rPr>
          <w:rFonts w:asciiTheme="majorHAnsi" w:hAnsiTheme="majorHAnsi" w:cstheme="majorHAnsi"/>
          <w:sz w:val="22"/>
          <w:szCs w:val="22"/>
        </w:rPr>
      </w:pPr>
    </w:p>
    <w:p w14:paraId="4371DF80" w14:textId="77777777" w:rsidR="005B2A97" w:rsidRDefault="005B2A97" w:rsidP="005B2A97">
      <w:pPr>
        <w:jc w:val="both"/>
        <w:rPr>
          <w:rFonts w:asciiTheme="majorHAnsi" w:hAnsiTheme="majorHAnsi" w:cstheme="majorHAnsi"/>
          <w:sz w:val="22"/>
          <w:szCs w:val="22"/>
        </w:rPr>
      </w:pPr>
    </w:p>
    <w:p w14:paraId="02981B61" w14:textId="77777777" w:rsidR="005B2A97" w:rsidRDefault="005B2A97" w:rsidP="005B2A97">
      <w:pPr>
        <w:pStyle w:val="ListParagraph"/>
        <w:numPr>
          <w:ilvl w:val="0"/>
          <w:numId w:val="34"/>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205F0A11" w14:textId="77777777" w:rsidR="005B2A97" w:rsidRPr="00A3767A" w:rsidRDefault="005B2A97">
      <w:pPr>
        <w:pStyle w:val="ListParagraph"/>
        <w:numPr>
          <w:ilvl w:val="0"/>
          <w:numId w:val="34"/>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758ACDB5" w14:textId="77777777" w:rsidR="006E55AB" w:rsidRPr="001A2FAF" w:rsidRDefault="006E55AB" w:rsidP="001A2FAF">
      <w:pPr>
        <w:jc w:val="both"/>
        <w:rPr>
          <w:rFonts w:asciiTheme="majorHAnsi" w:hAnsiTheme="majorHAnsi" w:cstheme="majorHAnsi"/>
          <w:sz w:val="22"/>
          <w:szCs w:val="22"/>
        </w:rPr>
      </w:pPr>
    </w:p>
    <w:p w14:paraId="69029BF3" w14:textId="77777777" w:rsidR="006E55AB" w:rsidRDefault="006E55AB" w:rsidP="006E55AB">
      <w:pPr>
        <w:ind w:left="-709"/>
        <w:jc w:val="both"/>
        <w:rPr>
          <w:rFonts w:asciiTheme="majorHAnsi" w:hAnsiTheme="majorHAnsi" w:cstheme="majorHAnsi"/>
          <w:sz w:val="22"/>
          <w:szCs w:val="22"/>
        </w:rPr>
      </w:pPr>
    </w:p>
    <w:p w14:paraId="2425BB94" w14:textId="77777777" w:rsidR="006E55AB" w:rsidRDefault="006E55AB" w:rsidP="006E55A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5699F1BC" w14:textId="77777777" w:rsidR="006E55AB" w:rsidRDefault="006E55AB" w:rsidP="006E55AB">
      <w:pPr>
        <w:ind w:left="-709"/>
        <w:jc w:val="both"/>
        <w:rPr>
          <w:rFonts w:asciiTheme="majorHAnsi" w:hAnsiTheme="majorHAnsi" w:cstheme="majorHAnsi"/>
          <w:sz w:val="22"/>
          <w:szCs w:val="22"/>
        </w:rPr>
      </w:pPr>
    </w:p>
    <w:p w14:paraId="6ADB9262" w14:textId="77777777" w:rsidR="006E55AB" w:rsidRPr="00F5014D"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Price discovery is one of the most challenging aspects of trading Fixed Income.  Generally, we use Multi-Lateral Trading Facilities (MTFs) as they provide a better price discovery function.</w:t>
      </w:r>
    </w:p>
    <w:p w14:paraId="048BB8AF" w14:textId="77777777" w:rsidR="006E55AB" w:rsidRDefault="006E55AB" w:rsidP="006E55AB">
      <w:pPr>
        <w:ind w:left="-709"/>
        <w:jc w:val="both"/>
        <w:rPr>
          <w:rFonts w:asciiTheme="majorHAnsi" w:hAnsiTheme="majorHAnsi" w:cstheme="majorHAnsi"/>
          <w:sz w:val="22"/>
          <w:szCs w:val="22"/>
        </w:rPr>
      </w:pPr>
      <w:r>
        <w:rPr>
          <w:rFonts w:asciiTheme="majorHAnsi" w:hAnsiTheme="majorHAnsi" w:cstheme="majorHAnsi"/>
          <w:sz w:val="22"/>
          <w:szCs w:val="22"/>
        </w:rPr>
        <w:t xml:space="preserve"> </w:t>
      </w:r>
    </w:p>
    <w:p w14:paraId="7F38C772" w14:textId="77777777" w:rsidR="006E55AB" w:rsidRDefault="006E55AB" w:rsidP="006E55AB">
      <w:pPr>
        <w:rPr>
          <w:rFonts w:asciiTheme="majorHAnsi" w:hAnsiTheme="majorHAnsi" w:cstheme="majorHAnsi"/>
          <w:sz w:val="22"/>
          <w:szCs w:val="22"/>
        </w:rPr>
      </w:pPr>
    </w:p>
    <w:p w14:paraId="0B49AE0E" w14:textId="24A6FDFE" w:rsidR="001D0C4D" w:rsidRDefault="001D0C4D" w:rsidP="00092D07">
      <w:pPr>
        <w:rPr>
          <w:rFonts w:asciiTheme="majorHAnsi" w:hAnsiTheme="majorHAnsi" w:cstheme="majorHAnsi"/>
          <w:sz w:val="22"/>
          <w:szCs w:val="22"/>
        </w:rPr>
      </w:pPr>
    </w:p>
    <w:p w14:paraId="356AC7E0" w14:textId="5C82A49B" w:rsidR="001D0C4D" w:rsidRDefault="001D0C4D" w:rsidP="00092D07">
      <w:pPr>
        <w:rPr>
          <w:rFonts w:asciiTheme="majorHAnsi" w:hAnsiTheme="majorHAnsi" w:cstheme="majorHAnsi"/>
          <w:sz w:val="22"/>
          <w:szCs w:val="22"/>
        </w:rPr>
      </w:pPr>
    </w:p>
    <w:p w14:paraId="1AF1AC0C" w14:textId="446204C0" w:rsidR="001D0C4D" w:rsidRDefault="001D0C4D" w:rsidP="00092D07">
      <w:pPr>
        <w:rPr>
          <w:rFonts w:asciiTheme="majorHAnsi" w:hAnsiTheme="majorHAnsi" w:cstheme="majorHAnsi"/>
          <w:sz w:val="22"/>
          <w:szCs w:val="22"/>
        </w:rPr>
      </w:pPr>
    </w:p>
    <w:p w14:paraId="00373120" w14:textId="77777777" w:rsidR="004C6D7E" w:rsidRDefault="004C6D7E" w:rsidP="00092D07">
      <w:pPr>
        <w:rPr>
          <w:rFonts w:asciiTheme="majorHAnsi" w:hAnsiTheme="majorHAnsi" w:cstheme="majorHAnsi"/>
          <w:sz w:val="22"/>
          <w:szCs w:val="22"/>
        </w:rPr>
      </w:pPr>
    </w:p>
    <w:p w14:paraId="606459F6" w14:textId="77777777" w:rsidR="004C6D7E" w:rsidRDefault="004C6D7E" w:rsidP="00092D07">
      <w:pPr>
        <w:rPr>
          <w:rFonts w:asciiTheme="majorHAnsi" w:hAnsiTheme="majorHAnsi" w:cstheme="majorHAnsi"/>
          <w:sz w:val="22"/>
          <w:szCs w:val="22"/>
        </w:rPr>
      </w:pPr>
    </w:p>
    <w:p w14:paraId="04DC1B33" w14:textId="77777777" w:rsidR="004C6D7E" w:rsidRDefault="004C6D7E" w:rsidP="00092D07">
      <w:pPr>
        <w:rPr>
          <w:rFonts w:asciiTheme="majorHAnsi" w:hAnsiTheme="majorHAnsi" w:cstheme="majorHAnsi"/>
          <w:sz w:val="22"/>
          <w:szCs w:val="22"/>
        </w:rPr>
      </w:pPr>
    </w:p>
    <w:p w14:paraId="0B0C1373" w14:textId="77777777" w:rsidR="004C6D7E" w:rsidRDefault="004C6D7E" w:rsidP="00092D07">
      <w:pPr>
        <w:rPr>
          <w:rFonts w:asciiTheme="majorHAnsi" w:hAnsiTheme="majorHAnsi" w:cstheme="majorHAnsi"/>
          <w:sz w:val="22"/>
          <w:szCs w:val="22"/>
        </w:rPr>
      </w:pPr>
    </w:p>
    <w:p w14:paraId="6952E4C9" w14:textId="77777777" w:rsidR="004C6D7E" w:rsidRDefault="004C6D7E" w:rsidP="00092D07">
      <w:pPr>
        <w:rPr>
          <w:rFonts w:asciiTheme="majorHAnsi" w:hAnsiTheme="majorHAnsi" w:cstheme="majorHAnsi"/>
          <w:sz w:val="22"/>
          <w:szCs w:val="22"/>
        </w:rPr>
      </w:pPr>
    </w:p>
    <w:p w14:paraId="2C1FF433" w14:textId="77777777" w:rsidR="004C6D7E" w:rsidRDefault="004C6D7E" w:rsidP="00092D07">
      <w:pPr>
        <w:rPr>
          <w:rFonts w:asciiTheme="majorHAnsi" w:hAnsiTheme="majorHAnsi" w:cstheme="majorHAnsi"/>
          <w:sz w:val="22"/>
          <w:szCs w:val="22"/>
        </w:rPr>
      </w:pPr>
    </w:p>
    <w:p w14:paraId="60E801B2" w14:textId="77777777" w:rsidR="004C6D7E" w:rsidRDefault="004C6D7E" w:rsidP="00092D07">
      <w:pPr>
        <w:rPr>
          <w:rFonts w:asciiTheme="majorHAnsi" w:hAnsiTheme="majorHAnsi" w:cstheme="majorHAnsi"/>
          <w:sz w:val="22"/>
          <w:szCs w:val="22"/>
        </w:rPr>
      </w:pPr>
    </w:p>
    <w:p w14:paraId="3F95FA35" w14:textId="77777777" w:rsidR="004C6D7E" w:rsidRDefault="004C6D7E" w:rsidP="00092D07">
      <w:pPr>
        <w:rPr>
          <w:rFonts w:asciiTheme="majorHAnsi" w:hAnsiTheme="majorHAnsi" w:cstheme="majorHAnsi"/>
          <w:sz w:val="22"/>
          <w:szCs w:val="22"/>
        </w:rPr>
      </w:pPr>
    </w:p>
    <w:p w14:paraId="77AC9659" w14:textId="77777777" w:rsidR="004C6D7E" w:rsidRDefault="004C6D7E" w:rsidP="00092D07">
      <w:pPr>
        <w:rPr>
          <w:rFonts w:asciiTheme="majorHAnsi" w:hAnsiTheme="majorHAnsi" w:cstheme="majorHAnsi"/>
          <w:sz w:val="22"/>
          <w:szCs w:val="22"/>
        </w:rPr>
      </w:pPr>
    </w:p>
    <w:p w14:paraId="3310BF08" w14:textId="77777777" w:rsidR="004C6D7E" w:rsidRDefault="004C6D7E" w:rsidP="00092D07">
      <w:pPr>
        <w:rPr>
          <w:rFonts w:asciiTheme="majorHAnsi" w:hAnsiTheme="majorHAnsi" w:cstheme="majorHAnsi"/>
          <w:sz w:val="22"/>
          <w:szCs w:val="22"/>
        </w:rPr>
      </w:pPr>
    </w:p>
    <w:p w14:paraId="7F5D2305" w14:textId="33157EE3" w:rsidR="001D0C4D" w:rsidRDefault="001D0C4D" w:rsidP="00092D07">
      <w:pPr>
        <w:rPr>
          <w:rFonts w:asciiTheme="majorHAnsi" w:hAnsiTheme="majorHAnsi" w:cstheme="majorHAnsi"/>
          <w:sz w:val="22"/>
          <w:szCs w:val="22"/>
        </w:rPr>
      </w:pPr>
    </w:p>
    <w:p w14:paraId="5AB19EE8" w14:textId="77777777" w:rsidR="001D0C4D" w:rsidRDefault="001D0C4D" w:rsidP="00092D07">
      <w:pPr>
        <w:rPr>
          <w:rFonts w:asciiTheme="majorHAnsi" w:hAnsiTheme="majorHAnsi" w:cstheme="majorHAnsi"/>
          <w:sz w:val="22"/>
          <w:szCs w:val="22"/>
        </w:rPr>
      </w:pPr>
    </w:p>
    <w:p w14:paraId="1E3C88CB" w14:textId="77777777" w:rsidR="00A531A1" w:rsidRDefault="00A531A1" w:rsidP="00A531A1">
      <w:pPr>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A531A1" w14:paraId="6A8C94FE" w14:textId="77777777" w:rsidTr="00A531A1">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D742FC2"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59011D" w14:textId="63CD4BEE" w:rsidR="00A531A1" w:rsidRPr="00C55BC5" w:rsidRDefault="006E55AB" w:rsidP="00C55BC5">
            <w:pPr>
              <w:rPr>
                <w:rFonts w:asciiTheme="majorHAnsi" w:hAnsiTheme="majorHAnsi" w:cstheme="majorHAnsi"/>
                <w:sz w:val="22"/>
                <w:szCs w:val="22"/>
              </w:rPr>
            </w:pPr>
            <w:r>
              <w:rPr>
                <w:rFonts w:asciiTheme="majorHAnsi" w:hAnsiTheme="majorHAnsi" w:cstheme="majorHAnsi"/>
                <w:sz w:val="22"/>
                <w:szCs w:val="22"/>
              </w:rPr>
              <w:t xml:space="preserve">Securitized derivatives: </w:t>
            </w:r>
            <w:r w:rsidR="006F1CF5">
              <w:rPr>
                <w:rFonts w:asciiTheme="majorHAnsi" w:hAnsiTheme="majorHAnsi" w:cstheme="majorHAnsi"/>
                <w:sz w:val="22"/>
                <w:szCs w:val="22"/>
              </w:rPr>
              <w:t xml:space="preserve">Other securitized derivatives </w:t>
            </w:r>
          </w:p>
        </w:tc>
      </w:tr>
      <w:tr w:rsidR="00A531A1" w14:paraId="5E6A87AE" w14:textId="77777777" w:rsidTr="00A531A1">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E3CBDD9"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4C050C" w14:textId="116827D8" w:rsidR="00A531A1" w:rsidRPr="00CF3001" w:rsidRDefault="00A531A1"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A531A1" w14:paraId="7C32EBF1" w14:textId="77777777" w:rsidTr="00A531A1">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E414D3" w14:textId="77777777" w:rsidR="00A531A1" w:rsidRPr="00CF3001" w:rsidRDefault="00A531A1" w:rsidP="00A531A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FFAABC"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45BE18"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89A89B8"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BA21A02"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4CC811E" w14:textId="77777777" w:rsidR="00A531A1" w:rsidRPr="00CF3001" w:rsidRDefault="00A531A1" w:rsidP="00A531A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820CD4" w14:textId="77777777" w:rsidR="00A531A1" w:rsidRPr="00CF3001" w:rsidRDefault="00A531A1" w:rsidP="00A531A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573C9D" w14:paraId="353F2D95"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94EDA30" w14:textId="21099D65" w:rsidR="00573C9D" w:rsidRDefault="00573C9D" w:rsidP="00A531A1">
            <w:pPr>
              <w:rPr>
                <w:rFonts w:asciiTheme="majorHAnsi" w:hAnsiTheme="majorHAnsi" w:cstheme="majorHAnsi"/>
                <w:sz w:val="22"/>
                <w:szCs w:val="22"/>
              </w:rPr>
            </w:pPr>
            <w:r w:rsidRPr="00A531A1">
              <w:rPr>
                <w:rFonts w:asciiTheme="majorHAnsi" w:hAnsiTheme="majorHAnsi" w:cstheme="majorHAnsi"/>
                <w:sz w:val="22"/>
                <w:szCs w:val="22"/>
              </w:rPr>
              <w:t xml:space="preserve">Catley Lakeman </w:t>
            </w:r>
            <w:r>
              <w:rPr>
                <w:rFonts w:asciiTheme="majorHAnsi" w:hAnsiTheme="majorHAnsi" w:cstheme="majorHAnsi"/>
                <w:sz w:val="22"/>
                <w:szCs w:val="22"/>
              </w:rPr>
              <w:t>May Ltd</w:t>
            </w:r>
          </w:p>
          <w:p w14:paraId="48926EF7" w14:textId="67792C79" w:rsidR="00573C9D" w:rsidRPr="00CF3001" w:rsidRDefault="00573C9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2138003PXLT3ZCM8S325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4B7E1A8" w14:textId="7CB2E61E" w:rsidR="00573C9D" w:rsidRPr="00CF3001" w:rsidRDefault="00573C9D" w:rsidP="00A531A1">
            <w:pPr>
              <w:jc w:val="center"/>
              <w:rPr>
                <w:rFonts w:asciiTheme="majorHAnsi" w:hAnsiTheme="majorHAnsi" w:cstheme="majorHAnsi"/>
                <w:sz w:val="22"/>
                <w:szCs w:val="22"/>
              </w:rPr>
            </w:pPr>
            <w:r>
              <w:rPr>
                <w:rFonts w:asciiTheme="majorHAnsi" w:hAnsiTheme="majorHAnsi" w:cstheme="majorHAnsi"/>
                <w:sz w:val="22"/>
                <w:szCs w:val="22"/>
              </w:rPr>
              <w:t>5</w:t>
            </w:r>
            <w:r w:rsidR="001B2BB9">
              <w:rPr>
                <w:rFonts w:asciiTheme="majorHAnsi" w:hAnsiTheme="majorHAnsi" w:cstheme="majorHAnsi"/>
                <w:sz w:val="22"/>
                <w:szCs w:val="22"/>
              </w:rPr>
              <w:t>6.91</w:t>
            </w:r>
            <w:r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D58C167" w14:textId="316DBC1D" w:rsidR="00573C9D" w:rsidRPr="00CF3001" w:rsidRDefault="001B2BB9" w:rsidP="00A531A1">
            <w:pPr>
              <w:jc w:val="center"/>
              <w:rPr>
                <w:rFonts w:asciiTheme="majorHAnsi" w:hAnsiTheme="majorHAnsi" w:cstheme="majorHAnsi"/>
                <w:sz w:val="22"/>
                <w:szCs w:val="22"/>
              </w:rPr>
            </w:pPr>
            <w:r>
              <w:rPr>
                <w:rFonts w:asciiTheme="majorHAnsi" w:hAnsiTheme="majorHAnsi" w:cstheme="majorHAnsi"/>
                <w:sz w:val="22"/>
                <w:szCs w:val="22"/>
              </w:rPr>
              <w:t>45.43</w:t>
            </w:r>
            <w:r w:rsidR="00573C9D"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10037F4" w14:textId="475F5BD2" w:rsidR="00573C9D" w:rsidRPr="00CF3001" w:rsidRDefault="00573C9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06F5393" w14:textId="3052676C" w:rsidR="00573C9D" w:rsidRPr="00CF3001" w:rsidRDefault="00573C9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69E5F043" w14:textId="645675CB" w:rsidR="00573C9D" w:rsidRPr="00CF3001" w:rsidRDefault="008574DD" w:rsidP="00A531A1">
            <w:pPr>
              <w:jc w:val="center"/>
              <w:rPr>
                <w:rFonts w:asciiTheme="majorHAnsi" w:hAnsiTheme="majorHAnsi" w:cstheme="majorHAnsi"/>
                <w:sz w:val="22"/>
                <w:szCs w:val="22"/>
              </w:rPr>
            </w:pPr>
            <w:r>
              <w:rPr>
                <w:rFonts w:asciiTheme="majorHAnsi" w:hAnsiTheme="majorHAnsi" w:cstheme="majorHAnsi"/>
                <w:sz w:val="22"/>
                <w:szCs w:val="22"/>
              </w:rPr>
              <w:t>0%</w:t>
            </w:r>
          </w:p>
        </w:tc>
      </w:tr>
      <w:tr w:rsidR="008574DD" w14:paraId="0A19041D"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F2F56A0" w14:textId="63F1EB99" w:rsidR="008574DD" w:rsidRDefault="008574DD" w:rsidP="00A531A1">
            <w:pPr>
              <w:rPr>
                <w:rFonts w:asciiTheme="majorHAnsi" w:hAnsiTheme="majorHAnsi" w:cstheme="majorHAnsi"/>
                <w:sz w:val="22"/>
                <w:szCs w:val="22"/>
              </w:rPr>
            </w:pPr>
            <w:r>
              <w:rPr>
                <w:rFonts w:asciiTheme="majorHAnsi" w:hAnsiTheme="majorHAnsi" w:cstheme="majorHAnsi"/>
                <w:sz w:val="22"/>
                <w:szCs w:val="22"/>
              </w:rPr>
              <w:t>SG Option Europe</w:t>
            </w:r>
          </w:p>
          <w:p w14:paraId="53C46E8A" w14:textId="769B179D" w:rsidR="008574DD" w:rsidRPr="00CF3001" w:rsidRDefault="008574DD" w:rsidP="00A531A1">
            <w:pPr>
              <w:rPr>
                <w:rFonts w:asciiTheme="majorHAnsi" w:hAnsiTheme="majorHAnsi" w:cstheme="majorHAnsi"/>
                <w:sz w:val="22"/>
                <w:szCs w:val="22"/>
              </w:rPr>
            </w:pPr>
            <w:r w:rsidRPr="00F92789">
              <w:rPr>
                <w:rFonts w:asciiTheme="majorHAnsi" w:hAnsiTheme="majorHAnsi" w:cstheme="majorHAnsi" w:hint="eastAsia"/>
                <w:sz w:val="20"/>
                <w:szCs w:val="20"/>
              </w:rPr>
              <w:t>LEI Code 969500FDN8G43HMHZM83</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1D193ED" w14:textId="3E41C193" w:rsidR="008574DD" w:rsidRPr="00CF3001" w:rsidRDefault="001B2BB9" w:rsidP="00A531A1">
            <w:pPr>
              <w:jc w:val="center"/>
              <w:rPr>
                <w:rFonts w:asciiTheme="majorHAnsi" w:hAnsiTheme="majorHAnsi" w:cstheme="majorHAnsi"/>
                <w:sz w:val="22"/>
                <w:szCs w:val="22"/>
              </w:rPr>
            </w:pPr>
            <w:r>
              <w:rPr>
                <w:rFonts w:asciiTheme="majorHAnsi" w:hAnsiTheme="majorHAnsi" w:cstheme="majorHAnsi"/>
                <w:sz w:val="22"/>
                <w:szCs w:val="22"/>
              </w:rPr>
              <w:t>23.52</w:t>
            </w:r>
            <w:r w:rsidR="008574DD"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24C53C" w14:textId="4CDF77C2" w:rsidR="008574DD" w:rsidRPr="00CF3001" w:rsidRDefault="008574DD" w:rsidP="00A531A1">
            <w:pPr>
              <w:jc w:val="center"/>
              <w:rPr>
                <w:rFonts w:asciiTheme="majorHAnsi" w:hAnsiTheme="majorHAnsi" w:cstheme="majorHAnsi"/>
                <w:sz w:val="22"/>
                <w:szCs w:val="22"/>
              </w:rPr>
            </w:pPr>
            <w:r>
              <w:rPr>
                <w:rFonts w:asciiTheme="majorHAnsi" w:hAnsiTheme="majorHAnsi" w:cstheme="majorHAnsi"/>
                <w:sz w:val="22"/>
                <w:szCs w:val="22"/>
              </w:rPr>
              <w:t>2</w:t>
            </w:r>
            <w:r w:rsidR="001B2BB9">
              <w:rPr>
                <w:rFonts w:asciiTheme="majorHAnsi" w:hAnsiTheme="majorHAnsi" w:cstheme="majorHAnsi"/>
                <w:sz w:val="22"/>
                <w:szCs w:val="22"/>
              </w:rPr>
              <w:t>4.03</w:t>
            </w:r>
            <w:r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DAF7C58" w14:textId="3FF010B2"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404204E0" w14:textId="77BD6171" w:rsidR="008574DD" w:rsidRPr="00CF3001" w:rsidRDefault="008574DD" w:rsidP="00A531A1">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3FC1D519" w14:textId="375011A8" w:rsidR="008574DD" w:rsidRPr="00CF3001" w:rsidRDefault="008574DD" w:rsidP="00A531A1">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1B2BB9" w14:paraId="0C1136AE"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E446733" w14:textId="77777777" w:rsidR="001B2BB9" w:rsidRPr="001A2FAF" w:rsidRDefault="001B2BB9" w:rsidP="001B2BB9">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7CBF92D1" w14:textId="513812A7" w:rsidR="001B2BB9" w:rsidRPr="00CF3001" w:rsidRDefault="001B2BB9" w:rsidP="001B2BB9">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C70444D" w14:textId="107B67E6" w:rsidR="001B2BB9" w:rsidRPr="00CF3001" w:rsidRDefault="001B2BB9" w:rsidP="001B2BB9">
            <w:pPr>
              <w:jc w:val="center"/>
              <w:rPr>
                <w:rFonts w:asciiTheme="majorHAnsi" w:hAnsiTheme="majorHAnsi" w:cstheme="majorHAnsi"/>
                <w:sz w:val="22"/>
                <w:szCs w:val="22"/>
              </w:rPr>
            </w:pPr>
            <w:r>
              <w:rPr>
                <w:rFonts w:asciiTheme="majorHAnsi" w:hAnsiTheme="majorHAnsi" w:cstheme="majorHAnsi"/>
                <w:sz w:val="22"/>
                <w:szCs w:val="22"/>
              </w:rPr>
              <w:t>11.06</w:t>
            </w:r>
            <w:r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F918DC" w14:textId="43E6F8DC" w:rsidR="001B2BB9" w:rsidRPr="00CF3001" w:rsidRDefault="001B2BB9" w:rsidP="001B2BB9">
            <w:pPr>
              <w:jc w:val="center"/>
              <w:rPr>
                <w:rFonts w:asciiTheme="majorHAnsi" w:hAnsiTheme="majorHAnsi" w:cstheme="majorHAnsi"/>
                <w:sz w:val="22"/>
                <w:szCs w:val="22"/>
              </w:rPr>
            </w:pPr>
            <w:r>
              <w:rPr>
                <w:rFonts w:asciiTheme="majorHAnsi" w:hAnsiTheme="majorHAnsi" w:cstheme="majorHAnsi"/>
                <w:sz w:val="22"/>
                <w:szCs w:val="22"/>
              </w:rPr>
              <w:t>20.16</w:t>
            </w:r>
            <w:r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443B966D" w14:textId="1A2BEEC6" w:rsidR="001B2BB9" w:rsidRPr="00CF3001"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3D0699A8" w14:textId="2273E166" w:rsidR="001B2BB9" w:rsidRPr="00CF3001"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41419580" w14:textId="529AC16A" w:rsidR="001B2BB9" w:rsidRPr="00CF3001" w:rsidRDefault="001B2BB9" w:rsidP="001B2BB9">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1B2BB9" w14:paraId="5CC9F09D"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77DE3D4" w14:textId="77777777" w:rsidR="001B2BB9" w:rsidRDefault="001B2BB9" w:rsidP="001B2BB9">
            <w:pPr>
              <w:rPr>
                <w:rFonts w:asciiTheme="majorHAnsi" w:hAnsiTheme="majorHAnsi" w:cstheme="majorHAnsi"/>
                <w:sz w:val="22"/>
                <w:szCs w:val="22"/>
              </w:rPr>
            </w:pPr>
            <w:r w:rsidRPr="00A531A1">
              <w:rPr>
                <w:rFonts w:asciiTheme="majorHAnsi" w:hAnsiTheme="majorHAnsi" w:cstheme="majorHAnsi"/>
                <w:sz w:val="22"/>
                <w:szCs w:val="22"/>
              </w:rPr>
              <w:t>CIBC World Markets PLC</w:t>
            </w:r>
          </w:p>
          <w:p w14:paraId="0B6B6943" w14:textId="339A29C9" w:rsidR="001B2BB9" w:rsidRPr="0012481F" w:rsidRDefault="001B2BB9" w:rsidP="001B2BB9">
            <w:pPr>
              <w:rPr>
                <w:rFonts w:asciiTheme="majorHAnsi" w:hAnsiTheme="majorHAnsi" w:cstheme="majorHAnsi"/>
                <w:sz w:val="22"/>
                <w:szCs w:val="22"/>
              </w:rPr>
            </w:pPr>
            <w:r w:rsidRPr="00F92789">
              <w:rPr>
                <w:rFonts w:asciiTheme="majorHAnsi" w:hAnsiTheme="majorHAnsi" w:cstheme="majorHAnsi" w:hint="eastAsia"/>
                <w:sz w:val="20"/>
                <w:szCs w:val="20"/>
              </w:rPr>
              <w:t>LEI Code BVRCO19C4GKNSAXXHE82</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B1DDB9" w14:textId="0D0231DF"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8.51</w:t>
            </w:r>
            <w:r w:rsidRPr="00A531A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C93C664" w14:textId="1D1D8C21"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10.38</w:t>
            </w:r>
            <w:r w:rsidRPr="00A531A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7C2ECF67" w14:textId="20A2F7C2" w:rsidR="001B2BB9" w:rsidRPr="0012481F"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2AD7A3F8" w14:textId="2707A332" w:rsidR="001B2BB9" w:rsidRPr="0012481F"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2DBA3D2F" w14:textId="6B0C8735" w:rsidR="001B2BB9" w:rsidRPr="0012481F" w:rsidRDefault="001B2BB9" w:rsidP="001B2BB9">
            <w:pPr>
              <w:jc w:val="center"/>
              <w:rPr>
                <w:rFonts w:asciiTheme="majorHAnsi" w:hAnsiTheme="majorHAnsi" w:cstheme="majorHAnsi"/>
                <w:sz w:val="22"/>
                <w:szCs w:val="22"/>
              </w:rPr>
            </w:pPr>
            <w:r w:rsidRPr="00EF2453">
              <w:rPr>
                <w:rFonts w:asciiTheme="majorHAnsi" w:hAnsiTheme="majorHAnsi" w:cstheme="majorHAnsi"/>
                <w:sz w:val="22"/>
                <w:szCs w:val="22"/>
              </w:rPr>
              <w:t>0%</w:t>
            </w:r>
          </w:p>
        </w:tc>
      </w:tr>
      <w:tr w:rsidR="001B2BB9" w14:paraId="1ADD6AD2"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A20AE3F" w14:textId="55E6C7B8"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C98059" w14:textId="40A3B4F7"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74DD1E3" w14:textId="321E9AA3"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79DF76" w14:textId="5A66F723" w:rsidR="001B2BB9" w:rsidRPr="0012481F"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17E7E37" w14:textId="3B23E6A9" w:rsidR="001B2BB9" w:rsidRPr="0012481F" w:rsidRDefault="001B2BB9" w:rsidP="001B2BB9">
            <w:pPr>
              <w:jc w:val="center"/>
              <w:rPr>
                <w:rFonts w:asciiTheme="majorHAnsi" w:hAnsiTheme="majorHAnsi" w:cstheme="majorHAnsi"/>
                <w:sz w:val="22"/>
                <w:szCs w:val="22"/>
              </w:rPr>
            </w:pPr>
            <w:r w:rsidRPr="002D6402">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CBD07B5" w14:textId="5B1F220D" w:rsidR="001B2BB9" w:rsidRPr="0012481F"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tc>
      </w:tr>
    </w:tbl>
    <w:p w14:paraId="0185602C" w14:textId="74C72B88" w:rsidR="003D0CC1" w:rsidRDefault="003D0CC1" w:rsidP="00A05033">
      <w:pPr>
        <w:jc w:val="both"/>
        <w:rPr>
          <w:rFonts w:asciiTheme="majorHAnsi" w:hAnsiTheme="majorHAnsi" w:cstheme="majorHAnsi"/>
          <w:sz w:val="22"/>
          <w:szCs w:val="22"/>
        </w:rPr>
      </w:pPr>
    </w:p>
    <w:p w14:paraId="2421184D" w14:textId="1184EE35" w:rsidR="00A05033" w:rsidRDefault="00AD430E" w:rsidP="00AD430E">
      <w:pPr>
        <w:ind w:left="-709"/>
        <w:jc w:val="both"/>
        <w:rPr>
          <w:rFonts w:asciiTheme="majorHAnsi" w:hAnsiTheme="majorHAnsi" w:cstheme="majorHAnsi"/>
          <w:sz w:val="22"/>
          <w:szCs w:val="22"/>
        </w:rPr>
      </w:pPr>
      <w:r w:rsidRPr="00AD430E">
        <w:rPr>
          <w:rFonts w:asciiTheme="majorHAnsi" w:hAnsiTheme="majorHAnsi" w:cstheme="majorHAnsi"/>
          <w:sz w:val="22"/>
          <w:szCs w:val="22"/>
        </w:rPr>
        <w:t xml:space="preserve">We are responsible for </w:t>
      </w:r>
      <w:r w:rsidR="00112AF1">
        <w:rPr>
          <w:rFonts w:asciiTheme="majorHAnsi" w:hAnsiTheme="majorHAnsi" w:cstheme="majorHAnsi"/>
          <w:sz w:val="22"/>
          <w:szCs w:val="22"/>
        </w:rPr>
        <w:t xml:space="preserve">the </w:t>
      </w:r>
      <w:r w:rsidRPr="00AD430E">
        <w:rPr>
          <w:rFonts w:asciiTheme="majorHAnsi" w:hAnsiTheme="majorHAnsi" w:cstheme="majorHAnsi"/>
          <w:sz w:val="22"/>
          <w:szCs w:val="22"/>
        </w:rPr>
        <w:t>is</w:t>
      </w:r>
      <w:r>
        <w:rPr>
          <w:rFonts w:asciiTheme="majorHAnsi" w:hAnsiTheme="majorHAnsi" w:cstheme="majorHAnsi"/>
          <w:sz w:val="22"/>
          <w:szCs w:val="22"/>
        </w:rPr>
        <w:t xml:space="preserve">suer selection, evaluating best </w:t>
      </w:r>
      <w:r w:rsidRPr="00AD430E">
        <w:rPr>
          <w:rFonts w:asciiTheme="majorHAnsi" w:hAnsiTheme="majorHAnsi" w:cstheme="majorHAnsi"/>
          <w:sz w:val="22"/>
          <w:szCs w:val="22"/>
        </w:rPr>
        <w:t xml:space="preserve">execution on behalf of our </w:t>
      </w:r>
      <w:r>
        <w:rPr>
          <w:rFonts w:asciiTheme="majorHAnsi" w:hAnsiTheme="majorHAnsi" w:cstheme="majorHAnsi"/>
          <w:sz w:val="22"/>
          <w:szCs w:val="22"/>
        </w:rPr>
        <w:t>c</w:t>
      </w:r>
      <w:r w:rsidRPr="00AD430E">
        <w:rPr>
          <w:rFonts w:asciiTheme="majorHAnsi" w:hAnsiTheme="majorHAnsi" w:cstheme="majorHAnsi"/>
          <w:sz w:val="22"/>
          <w:szCs w:val="22"/>
        </w:rPr>
        <w:t>lients and selecting the issuers that deliv</w:t>
      </w:r>
      <w:r>
        <w:rPr>
          <w:rFonts w:asciiTheme="majorHAnsi" w:hAnsiTheme="majorHAnsi" w:cstheme="majorHAnsi"/>
          <w:sz w:val="22"/>
          <w:szCs w:val="22"/>
        </w:rPr>
        <w:t xml:space="preserve">er the best possible result </w:t>
      </w:r>
      <w:r w:rsidRPr="00AD430E">
        <w:rPr>
          <w:rFonts w:asciiTheme="majorHAnsi" w:hAnsiTheme="majorHAnsi" w:cstheme="majorHAnsi"/>
          <w:sz w:val="22"/>
          <w:szCs w:val="22"/>
        </w:rPr>
        <w:t>in respect of the execution of structured products.</w:t>
      </w:r>
      <w:r>
        <w:rPr>
          <w:rFonts w:asciiTheme="majorHAnsi" w:hAnsiTheme="majorHAnsi" w:cstheme="majorHAnsi"/>
          <w:sz w:val="22"/>
          <w:szCs w:val="22"/>
        </w:rPr>
        <w:t xml:space="preserve">  </w:t>
      </w:r>
    </w:p>
    <w:p w14:paraId="11BDEC33" w14:textId="77777777" w:rsidR="00AD430E" w:rsidRDefault="00AD430E" w:rsidP="00AD430E">
      <w:pPr>
        <w:ind w:left="-709"/>
        <w:jc w:val="both"/>
        <w:rPr>
          <w:rFonts w:asciiTheme="majorHAnsi" w:hAnsiTheme="majorHAnsi" w:cstheme="majorHAnsi"/>
          <w:sz w:val="22"/>
          <w:szCs w:val="22"/>
        </w:rPr>
      </w:pPr>
    </w:p>
    <w:p w14:paraId="2F42E2E4" w14:textId="79E1F795" w:rsidR="00AD430E" w:rsidRDefault="00AD430E" w:rsidP="00E13F60">
      <w:pPr>
        <w:ind w:left="-709"/>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w:t>
      </w:r>
      <w:r w:rsidR="00183A59">
        <w:rPr>
          <w:rFonts w:asciiTheme="majorHAnsi" w:hAnsiTheme="majorHAnsi" w:cstheme="majorHAnsi"/>
          <w:sz w:val="22"/>
          <w:szCs w:val="22"/>
        </w:rPr>
        <w:t xml:space="preserve"> </w:t>
      </w:r>
      <w:r w:rsidR="00E13F60">
        <w:rPr>
          <w:rFonts w:asciiTheme="majorHAnsi" w:hAnsiTheme="majorHAnsi" w:cstheme="majorHAnsi"/>
          <w:sz w:val="22"/>
          <w:szCs w:val="22"/>
        </w:rPr>
        <w:t>I</w:t>
      </w:r>
      <w:r w:rsidR="00E13F60" w:rsidRPr="00E13F60">
        <w:rPr>
          <w:rFonts w:asciiTheme="majorHAnsi" w:hAnsiTheme="majorHAnsi" w:cstheme="majorHAnsi"/>
          <w:sz w:val="22"/>
          <w:szCs w:val="22"/>
        </w:rPr>
        <w:t>n m</w:t>
      </w:r>
      <w:r w:rsidR="00E13F60">
        <w:rPr>
          <w:rFonts w:asciiTheme="majorHAnsi" w:hAnsiTheme="majorHAnsi" w:cstheme="majorHAnsi"/>
          <w:sz w:val="22"/>
          <w:szCs w:val="22"/>
        </w:rPr>
        <w:t xml:space="preserve">ost cases, the issuer selection </w:t>
      </w:r>
      <w:r w:rsidR="00E13F60" w:rsidRPr="00E13F60">
        <w:rPr>
          <w:rFonts w:asciiTheme="majorHAnsi" w:hAnsiTheme="majorHAnsi" w:cstheme="majorHAnsi"/>
          <w:sz w:val="22"/>
          <w:szCs w:val="22"/>
        </w:rPr>
        <w:t>is a result of best deal economics</w:t>
      </w:r>
      <w:r w:rsidR="00E13F60">
        <w:rPr>
          <w:rFonts w:asciiTheme="majorHAnsi" w:hAnsiTheme="majorHAnsi" w:cstheme="majorHAnsi"/>
          <w:sz w:val="22"/>
          <w:szCs w:val="22"/>
        </w:rPr>
        <w:t xml:space="preserve">. In the majority of situations, secondary offerings are required to be executed with the same dealer which facilitated in the initial issuance of the products.  The execution factors </w:t>
      </w:r>
      <w:r w:rsidR="00112AF1">
        <w:rPr>
          <w:rFonts w:asciiTheme="majorHAnsi" w:hAnsiTheme="majorHAnsi" w:cstheme="majorHAnsi"/>
          <w:sz w:val="22"/>
          <w:szCs w:val="22"/>
        </w:rPr>
        <w:t>we</w:t>
      </w:r>
      <w:r w:rsidR="00BE5A5B">
        <w:rPr>
          <w:rFonts w:asciiTheme="majorHAnsi" w:hAnsiTheme="majorHAnsi" w:cstheme="majorHAnsi"/>
          <w:sz w:val="22"/>
          <w:szCs w:val="22"/>
        </w:rPr>
        <w:t xml:space="preserve"> took</w:t>
      </w:r>
      <w:r w:rsidR="00112AF1">
        <w:rPr>
          <w:rFonts w:asciiTheme="majorHAnsi" w:hAnsiTheme="majorHAnsi" w:cstheme="majorHAnsi"/>
          <w:sz w:val="22"/>
          <w:szCs w:val="22"/>
        </w:rPr>
        <w:t xml:space="preserve"> into consideration were:</w:t>
      </w:r>
    </w:p>
    <w:p w14:paraId="58BA70B3" w14:textId="77777777" w:rsidR="00E13F60" w:rsidRDefault="00E13F60" w:rsidP="00E13F60">
      <w:pPr>
        <w:ind w:left="-709"/>
        <w:jc w:val="both"/>
        <w:rPr>
          <w:rFonts w:asciiTheme="majorHAnsi" w:hAnsiTheme="majorHAnsi" w:cstheme="majorHAnsi"/>
          <w:sz w:val="22"/>
          <w:szCs w:val="22"/>
        </w:rPr>
      </w:pPr>
    </w:p>
    <w:p w14:paraId="3E13CEE1" w14:textId="77777777" w:rsidR="005B2A97" w:rsidRDefault="005B2A97" w:rsidP="005B2A97">
      <w:pPr>
        <w:jc w:val="both"/>
        <w:rPr>
          <w:rFonts w:asciiTheme="majorHAnsi" w:hAnsiTheme="majorHAnsi" w:cstheme="majorHAnsi"/>
          <w:sz w:val="22"/>
          <w:szCs w:val="22"/>
        </w:rPr>
      </w:pPr>
    </w:p>
    <w:p w14:paraId="18F453F3" w14:textId="77777777" w:rsidR="005B2A97" w:rsidRDefault="005B2A97" w:rsidP="005B2A97">
      <w:pPr>
        <w:pStyle w:val="ListParagraph"/>
        <w:numPr>
          <w:ilvl w:val="0"/>
          <w:numId w:val="35"/>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70454C51" w14:textId="77777777" w:rsidR="005B2A97" w:rsidRPr="00A3767A" w:rsidRDefault="005B2A97">
      <w:pPr>
        <w:pStyle w:val="ListParagraph"/>
        <w:numPr>
          <w:ilvl w:val="0"/>
          <w:numId w:val="35"/>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2D8DC4BA" w14:textId="77777777" w:rsidR="005B2A97" w:rsidRDefault="005B2A97" w:rsidP="005B2A97">
      <w:pPr>
        <w:jc w:val="both"/>
        <w:rPr>
          <w:rFonts w:asciiTheme="majorHAnsi" w:hAnsiTheme="majorHAnsi" w:cstheme="majorHAnsi"/>
          <w:sz w:val="22"/>
          <w:szCs w:val="22"/>
        </w:rPr>
      </w:pPr>
    </w:p>
    <w:p w14:paraId="6FE2E617" w14:textId="77777777" w:rsidR="008E32E8" w:rsidRDefault="008E32E8" w:rsidP="00536837">
      <w:pPr>
        <w:jc w:val="center"/>
        <w:rPr>
          <w:rFonts w:asciiTheme="majorHAnsi" w:hAnsiTheme="majorHAnsi" w:cstheme="majorHAnsi"/>
          <w:sz w:val="22"/>
          <w:szCs w:val="22"/>
        </w:rPr>
      </w:pPr>
    </w:p>
    <w:p w14:paraId="65990FC3" w14:textId="5F5BB01E" w:rsidR="00721797" w:rsidRDefault="00721797" w:rsidP="00464ABB">
      <w:pPr>
        <w:jc w:val="center"/>
        <w:rPr>
          <w:rFonts w:asciiTheme="majorHAnsi" w:hAnsiTheme="majorHAnsi" w:cstheme="majorHAnsi"/>
          <w:sz w:val="22"/>
          <w:szCs w:val="22"/>
        </w:rPr>
      </w:pPr>
    </w:p>
    <w:p w14:paraId="1E9C3212" w14:textId="6939AD9C" w:rsidR="004A702D" w:rsidRDefault="004A702D" w:rsidP="00723AF5">
      <w:pPr>
        <w:jc w:val="both"/>
        <w:rPr>
          <w:rFonts w:asciiTheme="majorHAnsi" w:hAnsiTheme="majorHAnsi" w:cstheme="majorHAnsi"/>
          <w:sz w:val="22"/>
          <w:szCs w:val="22"/>
        </w:rPr>
      </w:pPr>
    </w:p>
    <w:p w14:paraId="247D628F" w14:textId="77777777" w:rsidR="004C6D7E" w:rsidRDefault="004C6D7E" w:rsidP="00723AF5">
      <w:pPr>
        <w:jc w:val="both"/>
        <w:rPr>
          <w:rFonts w:asciiTheme="majorHAnsi" w:hAnsiTheme="majorHAnsi" w:cstheme="majorHAnsi"/>
          <w:sz w:val="22"/>
          <w:szCs w:val="22"/>
        </w:rPr>
      </w:pPr>
    </w:p>
    <w:p w14:paraId="793ADAD1" w14:textId="77777777" w:rsidR="004C6D7E" w:rsidRDefault="004C6D7E" w:rsidP="00723AF5">
      <w:pPr>
        <w:jc w:val="both"/>
        <w:rPr>
          <w:rFonts w:asciiTheme="majorHAnsi" w:hAnsiTheme="majorHAnsi" w:cstheme="majorHAnsi"/>
          <w:sz w:val="22"/>
          <w:szCs w:val="22"/>
        </w:rPr>
      </w:pPr>
    </w:p>
    <w:p w14:paraId="61E98015" w14:textId="77777777" w:rsidR="004C6D7E" w:rsidRDefault="004C6D7E" w:rsidP="00723AF5">
      <w:pPr>
        <w:jc w:val="both"/>
        <w:rPr>
          <w:rFonts w:asciiTheme="majorHAnsi" w:hAnsiTheme="majorHAnsi" w:cstheme="majorHAnsi"/>
          <w:sz w:val="22"/>
          <w:szCs w:val="22"/>
        </w:rPr>
      </w:pPr>
    </w:p>
    <w:p w14:paraId="55E37EB8" w14:textId="77777777" w:rsidR="004C6D7E" w:rsidRDefault="004C6D7E" w:rsidP="00723AF5">
      <w:pPr>
        <w:jc w:val="both"/>
        <w:rPr>
          <w:rFonts w:asciiTheme="majorHAnsi" w:hAnsiTheme="majorHAnsi" w:cstheme="majorHAnsi"/>
          <w:sz w:val="22"/>
          <w:szCs w:val="22"/>
        </w:rPr>
      </w:pPr>
    </w:p>
    <w:p w14:paraId="13813190" w14:textId="77777777" w:rsidR="004C6D7E" w:rsidRDefault="004C6D7E" w:rsidP="00723AF5">
      <w:pPr>
        <w:jc w:val="both"/>
        <w:rPr>
          <w:rFonts w:asciiTheme="majorHAnsi" w:hAnsiTheme="majorHAnsi" w:cstheme="majorHAnsi"/>
          <w:sz w:val="22"/>
          <w:szCs w:val="22"/>
        </w:rPr>
      </w:pPr>
    </w:p>
    <w:p w14:paraId="5E57172F" w14:textId="77777777" w:rsidR="004C6D7E" w:rsidRDefault="004C6D7E" w:rsidP="00723AF5">
      <w:pPr>
        <w:jc w:val="both"/>
        <w:rPr>
          <w:rFonts w:asciiTheme="majorHAnsi" w:hAnsiTheme="majorHAnsi" w:cstheme="majorHAnsi"/>
          <w:sz w:val="22"/>
          <w:szCs w:val="22"/>
        </w:rPr>
      </w:pPr>
    </w:p>
    <w:p w14:paraId="4E2156EA" w14:textId="77777777" w:rsidR="004C6D7E" w:rsidRDefault="004C6D7E" w:rsidP="00723AF5">
      <w:pPr>
        <w:jc w:val="both"/>
        <w:rPr>
          <w:rFonts w:asciiTheme="majorHAnsi" w:hAnsiTheme="majorHAnsi" w:cstheme="majorHAnsi"/>
          <w:sz w:val="22"/>
          <w:szCs w:val="22"/>
        </w:rPr>
      </w:pPr>
    </w:p>
    <w:p w14:paraId="70103DF9" w14:textId="77777777" w:rsidR="004C6D7E" w:rsidRDefault="004C6D7E" w:rsidP="00723AF5">
      <w:pPr>
        <w:jc w:val="both"/>
        <w:rPr>
          <w:rFonts w:asciiTheme="majorHAnsi" w:hAnsiTheme="majorHAnsi" w:cstheme="majorHAnsi"/>
          <w:sz w:val="22"/>
          <w:szCs w:val="22"/>
        </w:rPr>
      </w:pPr>
    </w:p>
    <w:p w14:paraId="3A267A09" w14:textId="77777777" w:rsidR="004C6D7E" w:rsidRDefault="004C6D7E" w:rsidP="00723AF5">
      <w:pPr>
        <w:jc w:val="both"/>
        <w:rPr>
          <w:rFonts w:asciiTheme="majorHAnsi" w:hAnsiTheme="majorHAnsi" w:cstheme="majorHAnsi"/>
          <w:sz w:val="22"/>
          <w:szCs w:val="22"/>
        </w:rPr>
      </w:pPr>
    </w:p>
    <w:p w14:paraId="7124796B" w14:textId="77777777" w:rsidR="004C6D7E" w:rsidRDefault="004C6D7E" w:rsidP="00723AF5">
      <w:pPr>
        <w:jc w:val="both"/>
        <w:rPr>
          <w:rFonts w:asciiTheme="majorHAnsi" w:hAnsiTheme="majorHAnsi" w:cstheme="majorHAnsi"/>
          <w:sz w:val="22"/>
          <w:szCs w:val="22"/>
        </w:rPr>
      </w:pPr>
    </w:p>
    <w:p w14:paraId="1F52E905" w14:textId="77777777" w:rsidR="004C6D7E" w:rsidRDefault="004C6D7E" w:rsidP="00723AF5">
      <w:pPr>
        <w:jc w:val="both"/>
        <w:rPr>
          <w:rFonts w:asciiTheme="majorHAnsi" w:hAnsiTheme="majorHAnsi" w:cstheme="majorHAnsi"/>
          <w:sz w:val="22"/>
          <w:szCs w:val="22"/>
        </w:rPr>
      </w:pPr>
    </w:p>
    <w:p w14:paraId="4AC234EA" w14:textId="77777777" w:rsidR="004C6D7E" w:rsidRDefault="004C6D7E" w:rsidP="00723AF5">
      <w:pPr>
        <w:jc w:val="both"/>
        <w:rPr>
          <w:rFonts w:asciiTheme="majorHAnsi" w:hAnsiTheme="majorHAnsi" w:cstheme="majorHAnsi"/>
          <w:sz w:val="22"/>
          <w:szCs w:val="22"/>
        </w:rPr>
      </w:pPr>
    </w:p>
    <w:p w14:paraId="1774D585" w14:textId="77777777" w:rsidR="004C6D7E" w:rsidRDefault="004C6D7E" w:rsidP="00723AF5">
      <w:pPr>
        <w:jc w:val="both"/>
        <w:rPr>
          <w:rFonts w:asciiTheme="majorHAnsi" w:hAnsiTheme="majorHAnsi" w:cstheme="majorHAnsi"/>
          <w:sz w:val="22"/>
          <w:szCs w:val="22"/>
        </w:rPr>
      </w:pPr>
    </w:p>
    <w:p w14:paraId="1213CC04" w14:textId="77777777" w:rsidR="00BD1214" w:rsidRDefault="00BD1214" w:rsidP="00BD1214">
      <w:pPr>
        <w:pStyle w:val="ListParagraph"/>
        <w:jc w:val="both"/>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BD1214" w14:paraId="50A10D4A" w14:textId="77777777" w:rsidTr="0063275C">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C866D5A"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1DDC80" w14:textId="545502E5" w:rsidR="00BD1214" w:rsidRPr="00C55BC5" w:rsidRDefault="00BD1214" w:rsidP="00573C9D">
            <w:pPr>
              <w:rPr>
                <w:rFonts w:asciiTheme="majorHAnsi" w:hAnsiTheme="majorHAnsi" w:cstheme="majorHAnsi"/>
                <w:sz w:val="22"/>
                <w:szCs w:val="22"/>
              </w:rPr>
            </w:pPr>
            <w:r>
              <w:rPr>
                <w:rFonts w:asciiTheme="majorHAnsi" w:hAnsiTheme="majorHAnsi" w:cstheme="majorHAnsi"/>
                <w:sz w:val="22"/>
                <w:szCs w:val="22"/>
              </w:rPr>
              <w:t>Securitized derivatives</w:t>
            </w:r>
            <w:r w:rsidR="00DD5103">
              <w:rPr>
                <w:rFonts w:asciiTheme="majorHAnsi" w:hAnsiTheme="majorHAnsi" w:cstheme="majorHAnsi"/>
                <w:sz w:val="22"/>
                <w:szCs w:val="22"/>
              </w:rPr>
              <w:t>: Warrants and certificate deriv</w:t>
            </w:r>
            <w:r>
              <w:rPr>
                <w:rFonts w:asciiTheme="majorHAnsi" w:hAnsiTheme="majorHAnsi" w:cstheme="majorHAnsi"/>
                <w:sz w:val="22"/>
                <w:szCs w:val="22"/>
              </w:rPr>
              <w:t>atives</w:t>
            </w:r>
          </w:p>
        </w:tc>
      </w:tr>
      <w:tr w:rsidR="00BD1214" w14:paraId="6A2F4CD1" w14:textId="77777777" w:rsidTr="0063275C">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D87B436"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95DC5" w14:textId="3D8EE1DB" w:rsidR="00BD1214" w:rsidRPr="00CF3001" w:rsidRDefault="001B2BB9" w:rsidP="001A2FAF">
            <w:pPr>
              <w:rPr>
                <w:rFonts w:asciiTheme="majorHAnsi" w:hAnsiTheme="majorHAnsi" w:cstheme="majorHAnsi"/>
                <w:sz w:val="22"/>
                <w:szCs w:val="22"/>
              </w:rPr>
            </w:pPr>
            <w:r>
              <w:rPr>
                <w:rFonts w:asciiTheme="majorHAnsi" w:hAnsiTheme="majorHAnsi" w:cstheme="majorHAnsi"/>
                <w:sz w:val="22"/>
                <w:szCs w:val="22"/>
              </w:rPr>
              <w:t>n/a</w:t>
            </w:r>
          </w:p>
        </w:tc>
      </w:tr>
      <w:tr w:rsidR="00BD1214" w14:paraId="644F2F93" w14:textId="77777777" w:rsidTr="0063275C">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A2F09A" w14:textId="77777777" w:rsidR="00BD1214" w:rsidRPr="00CF3001" w:rsidRDefault="00BD1214" w:rsidP="0063275C">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CF51565"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142882D"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6F00EF"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83C1D2"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2AF4577" w14:textId="77777777" w:rsidR="00BD1214" w:rsidRPr="00CF3001" w:rsidRDefault="00BD1214" w:rsidP="0063275C">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08DE90" w14:textId="77777777" w:rsidR="00BD1214" w:rsidRPr="00CF3001" w:rsidRDefault="00BD1214" w:rsidP="0063275C">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8574DD" w14:paraId="1CEF27E5"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3007A86" w14:textId="77777777" w:rsidR="001B2BB9"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p w14:paraId="4CE0FE95" w14:textId="726C6235" w:rsidR="008574DD" w:rsidRPr="00CF3001" w:rsidRDefault="008574DD" w:rsidP="0063275C">
            <w:pPr>
              <w:rPr>
                <w:rFonts w:asciiTheme="majorHAnsi" w:hAnsiTheme="majorHAnsi" w:cstheme="majorHAnsi"/>
                <w:sz w:val="22"/>
                <w:szCs w:val="22"/>
              </w:rPr>
            </w:pP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5BD151" w14:textId="77777777" w:rsidR="001B2BB9"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p w14:paraId="6E936E59" w14:textId="0469367B" w:rsidR="008574DD" w:rsidRPr="00CF3001" w:rsidRDefault="008574DD" w:rsidP="0063275C">
            <w:pPr>
              <w:jc w:val="center"/>
              <w:rPr>
                <w:rFonts w:asciiTheme="majorHAnsi" w:hAnsiTheme="majorHAnsi" w:cstheme="majorHAnsi"/>
                <w:sz w:val="22"/>
                <w:szCs w:val="22"/>
              </w:rPr>
            </w:pP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6506B07" w14:textId="77777777" w:rsidR="001B2BB9" w:rsidRDefault="001B2BB9" w:rsidP="001B2BB9">
            <w:pPr>
              <w:jc w:val="center"/>
              <w:rPr>
                <w:rFonts w:asciiTheme="majorHAnsi" w:hAnsiTheme="majorHAnsi" w:cstheme="majorHAnsi"/>
                <w:sz w:val="22"/>
                <w:szCs w:val="22"/>
              </w:rPr>
            </w:pPr>
            <w:r>
              <w:rPr>
                <w:rFonts w:asciiTheme="majorHAnsi" w:hAnsiTheme="majorHAnsi" w:cstheme="majorHAnsi"/>
                <w:sz w:val="22"/>
                <w:szCs w:val="22"/>
              </w:rPr>
              <w:t>n/a</w:t>
            </w:r>
          </w:p>
          <w:p w14:paraId="28FD2C77" w14:textId="0479F8F4" w:rsidR="008574DD" w:rsidRPr="00CF3001" w:rsidRDefault="008574DD" w:rsidP="0063275C">
            <w:pPr>
              <w:jc w:val="center"/>
              <w:rPr>
                <w:rFonts w:asciiTheme="majorHAnsi" w:hAnsiTheme="majorHAnsi" w:cstheme="majorHAnsi"/>
                <w:sz w:val="22"/>
                <w:szCs w:val="22"/>
              </w:rPr>
            </w:pP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139FACDF" w14:textId="49716BE2" w:rsidR="008574DD" w:rsidRPr="00CF3001" w:rsidRDefault="008574DD" w:rsidP="0063275C">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FB7A01B" w14:textId="51EA3680" w:rsidR="008574DD" w:rsidRPr="00CF3001" w:rsidRDefault="008574DD" w:rsidP="0063275C">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72861561" w14:textId="1DBD3594" w:rsidR="008574DD" w:rsidRPr="00CF3001" w:rsidRDefault="003304B2" w:rsidP="0063275C">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8574DD" w14:paraId="5C275071"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45D4156" w14:textId="1AA43ED9" w:rsidR="008574DD" w:rsidRDefault="001E5B5B" w:rsidP="00A46C9D">
            <w:pPr>
              <w:jc w:val="center"/>
              <w:rPr>
                <w:rFonts w:asciiTheme="majorHAnsi" w:hAnsiTheme="majorHAnsi" w:cstheme="majorHAnsi"/>
                <w:sz w:val="22"/>
                <w:szCs w:val="22"/>
              </w:rPr>
            </w:pPr>
            <w:r>
              <w:rPr>
                <w:rFonts w:asciiTheme="majorHAnsi" w:hAnsiTheme="majorHAnsi" w:cstheme="majorHAnsi"/>
                <w:sz w:val="22"/>
                <w:szCs w:val="22"/>
              </w:rPr>
              <w:t>n/a</w:t>
            </w:r>
          </w:p>
          <w:p w14:paraId="1DDA4732" w14:textId="2A0BD2B1" w:rsidR="008574DD" w:rsidRPr="00CF3001" w:rsidRDefault="008574DD" w:rsidP="00A46C9D">
            <w:pPr>
              <w:jc w:val="center"/>
              <w:rPr>
                <w:rFonts w:asciiTheme="majorHAnsi" w:hAnsiTheme="majorHAnsi" w:cstheme="majorHAnsi"/>
                <w:sz w:val="22"/>
                <w:szCs w:val="22"/>
              </w:rPr>
            </w:pP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9EA1C2F" w14:textId="374ECE2A" w:rsidR="008574DD" w:rsidRPr="00CF3001" w:rsidRDefault="001E5B5B"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5481ACF" w14:textId="11C14A90" w:rsidR="008574DD" w:rsidRPr="00CF3001" w:rsidRDefault="001E5B5B"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39219C" w14:textId="2317E77A" w:rsidR="008574DD" w:rsidRPr="00CF3001" w:rsidRDefault="008574D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CB302B" w14:textId="3CEE3AEC" w:rsidR="008574DD" w:rsidRPr="00CF3001" w:rsidRDefault="008574D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A03BAEF" w14:textId="3BCE540E" w:rsidR="008574DD" w:rsidRPr="00CF3001" w:rsidRDefault="003304B2"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573C9D" w14:paraId="05F818B3"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B45F549" w14:textId="798CFC9D"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DFE37C" w14:textId="685A684D"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926F087" w14:textId="17D8697C" w:rsidR="00573C9D" w:rsidRPr="00CF3001"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5E634D9" w14:textId="6718054A"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B863F72" w14:textId="1A574C0C"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83CF7B7" w14:textId="79C7154C" w:rsidR="00573C9D" w:rsidRPr="00CF3001"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573C9D" w14:paraId="25CB5738"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9D8501D" w14:textId="6B8AAF45"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A862E25" w14:textId="6F604B21"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8A51177" w14:textId="64538B6B"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9BDBC5" w14:textId="1F8FDD26"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4AF0BA" w14:textId="220D39CF"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B01F972" w14:textId="6588F394"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r w:rsidR="00573C9D" w14:paraId="3C67ED1E" w14:textId="77777777" w:rsidTr="00A46C9D">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4DDB9CB" w14:textId="4A4230E4"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92D47EF" w14:textId="5C2F262D"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92D7596" w14:textId="74186BBF" w:rsidR="00573C9D" w:rsidRPr="0012481F" w:rsidRDefault="00573C9D" w:rsidP="00A46C9D">
            <w:pPr>
              <w:jc w:val="center"/>
              <w:rPr>
                <w:rFonts w:asciiTheme="majorHAnsi" w:hAnsiTheme="majorHAnsi" w:cstheme="majorHAnsi"/>
                <w:sz w:val="22"/>
                <w:szCs w:val="22"/>
              </w:rPr>
            </w:pPr>
            <w:r w:rsidRPr="001A7878">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04EC90" w14:textId="6D23B88B"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7F40776" w14:textId="706F7EAE"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7CF07B7" w14:textId="51F54F0E" w:rsidR="00573C9D" w:rsidRPr="0012481F" w:rsidRDefault="00573C9D" w:rsidP="00A46C9D">
            <w:pPr>
              <w:jc w:val="center"/>
              <w:rPr>
                <w:rFonts w:asciiTheme="majorHAnsi" w:hAnsiTheme="majorHAnsi" w:cstheme="majorHAnsi"/>
                <w:sz w:val="22"/>
                <w:szCs w:val="22"/>
              </w:rPr>
            </w:pPr>
            <w:r w:rsidRPr="00DE56E9">
              <w:rPr>
                <w:rFonts w:asciiTheme="majorHAnsi" w:hAnsiTheme="majorHAnsi" w:cstheme="majorHAnsi"/>
                <w:sz w:val="22"/>
                <w:szCs w:val="22"/>
              </w:rPr>
              <w:t>n/a</w:t>
            </w:r>
          </w:p>
        </w:tc>
      </w:tr>
    </w:tbl>
    <w:p w14:paraId="11B6945A" w14:textId="77777777" w:rsidR="001A2FAF" w:rsidRDefault="001A2FAF" w:rsidP="001A2FAF">
      <w:pPr>
        <w:jc w:val="both"/>
        <w:rPr>
          <w:rFonts w:asciiTheme="majorHAnsi" w:hAnsiTheme="majorHAnsi" w:cstheme="majorHAnsi"/>
          <w:sz w:val="22"/>
          <w:szCs w:val="22"/>
        </w:rPr>
      </w:pPr>
    </w:p>
    <w:p w14:paraId="0CB6775D" w14:textId="3D94D4DA" w:rsidR="00BD1214" w:rsidRDefault="00BD1214" w:rsidP="001A2FAF">
      <w:pPr>
        <w:ind w:left="-709"/>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 I</w:t>
      </w:r>
      <w:r w:rsidRPr="00E13F60">
        <w:rPr>
          <w:rFonts w:asciiTheme="majorHAnsi" w:hAnsiTheme="majorHAnsi" w:cstheme="majorHAnsi"/>
          <w:sz w:val="22"/>
          <w:szCs w:val="22"/>
        </w:rPr>
        <w:t>n m</w:t>
      </w:r>
      <w:r>
        <w:rPr>
          <w:rFonts w:asciiTheme="majorHAnsi" w:hAnsiTheme="majorHAnsi" w:cstheme="majorHAnsi"/>
          <w:sz w:val="22"/>
          <w:szCs w:val="22"/>
        </w:rPr>
        <w:t xml:space="preserve">ost cases, the issuer selection </w:t>
      </w:r>
      <w:r w:rsidRPr="00E13F60">
        <w:rPr>
          <w:rFonts w:asciiTheme="majorHAnsi" w:hAnsiTheme="majorHAnsi" w:cstheme="majorHAnsi"/>
          <w:sz w:val="22"/>
          <w:szCs w:val="22"/>
        </w:rPr>
        <w:t>is a result of best deal economics</w:t>
      </w:r>
      <w:r>
        <w:rPr>
          <w:rFonts w:asciiTheme="majorHAnsi" w:hAnsiTheme="majorHAnsi" w:cstheme="majorHAnsi"/>
          <w:sz w:val="22"/>
          <w:szCs w:val="22"/>
        </w:rPr>
        <w:t>. In the majority of situations, secondary offerings are required to be executed with the same dealer which facilitated in the initial issuance of the products.  The execution factors we took into consideration were:</w:t>
      </w:r>
    </w:p>
    <w:p w14:paraId="4F0DD113" w14:textId="77777777" w:rsidR="00BD1214" w:rsidRDefault="00BD1214" w:rsidP="00BD1214">
      <w:pPr>
        <w:ind w:left="-709"/>
        <w:jc w:val="both"/>
        <w:rPr>
          <w:rFonts w:asciiTheme="majorHAnsi" w:hAnsiTheme="majorHAnsi" w:cstheme="majorHAnsi"/>
          <w:sz w:val="22"/>
          <w:szCs w:val="22"/>
        </w:rPr>
      </w:pPr>
    </w:p>
    <w:p w14:paraId="1DBD1D24" w14:textId="77777777" w:rsidR="005B2A97" w:rsidRDefault="005B2A97" w:rsidP="005B2A97">
      <w:pPr>
        <w:jc w:val="both"/>
        <w:rPr>
          <w:rFonts w:asciiTheme="majorHAnsi" w:hAnsiTheme="majorHAnsi" w:cstheme="majorHAnsi"/>
          <w:sz w:val="22"/>
          <w:szCs w:val="22"/>
        </w:rPr>
      </w:pPr>
    </w:p>
    <w:p w14:paraId="7B13A261" w14:textId="77777777" w:rsidR="005B2A97" w:rsidRDefault="005B2A97" w:rsidP="005B2A97">
      <w:pPr>
        <w:pStyle w:val="ListParagraph"/>
        <w:numPr>
          <w:ilvl w:val="0"/>
          <w:numId w:val="36"/>
        </w:numPr>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3B494BD7" w14:textId="77777777" w:rsidR="005B2A97" w:rsidRPr="00A3767A" w:rsidRDefault="005B2A97">
      <w:pPr>
        <w:pStyle w:val="ListParagraph"/>
        <w:numPr>
          <w:ilvl w:val="0"/>
          <w:numId w:val="36"/>
        </w:numPr>
        <w:jc w:val="both"/>
        <w:rPr>
          <w:rFonts w:asciiTheme="majorHAnsi" w:hAnsiTheme="majorHAnsi" w:cstheme="majorHAnsi"/>
          <w:sz w:val="22"/>
          <w:szCs w:val="22"/>
        </w:rPr>
      </w:pPr>
      <w:r w:rsidRPr="00A3767A">
        <w:rPr>
          <w:rFonts w:asciiTheme="majorHAnsi" w:hAnsiTheme="majorHAnsi" w:cstheme="majorHAnsi"/>
          <w:sz w:val="22"/>
          <w:szCs w:val="22"/>
        </w:rPr>
        <w:t>Price and size</w:t>
      </w:r>
    </w:p>
    <w:p w14:paraId="05EF4077" w14:textId="77777777" w:rsidR="005B2A97" w:rsidRDefault="005B2A97" w:rsidP="005B2A97">
      <w:pPr>
        <w:jc w:val="both"/>
        <w:rPr>
          <w:rFonts w:asciiTheme="majorHAnsi" w:hAnsiTheme="majorHAnsi" w:cstheme="majorHAnsi"/>
          <w:sz w:val="22"/>
          <w:szCs w:val="22"/>
        </w:rPr>
      </w:pPr>
    </w:p>
    <w:p w14:paraId="43645D4F" w14:textId="7C5C83BA" w:rsidR="001D0C4D" w:rsidRDefault="001D0C4D" w:rsidP="00464ABB">
      <w:pPr>
        <w:jc w:val="center"/>
        <w:rPr>
          <w:rFonts w:asciiTheme="majorHAnsi" w:hAnsiTheme="majorHAnsi" w:cstheme="majorHAnsi"/>
          <w:sz w:val="22"/>
          <w:szCs w:val="22"/>
        </w:rPr>
      </w:pPr>
    </w:p>
    <w:p w14:paraId="04366338" w14:textId="35891D82" w:rsidR="001D0C4D" w:rsidRDefault="001D0C4D" w:rsidP="00464ABB">
      <w:pPr>
        <w:jc w:val="center"/>
        <w:rPr>
          <w:rFonts w:asciiTheme="majorHAnsi" w:hAnsiTheme="majorHAnsi" w:cstheme="majorHAnsi"/>
          <w:sz w:val="22"/>
          <w:szCs w:val="22"/>
        </w:rPr>
      </w:pPr>
    </w:p>
    <w:p w14:paraId="683DC69C" w14:textId="24F94C54" w:rsidR="001D0C4D" w:rsidRDefault="001D0C4D" w:rsidP="00464ABB">
      <w:pPr>
        <w:jc w:val="center"/>
        <w:rPr>
          <w:rFonts w:asciiTheme="majorHAnsi" w:hAnsiTheme="majorHAnsi" w:cstheme="majorHAnsi"/>
          <w:sz w:val="22"/>
          <w:szCs w:val="22"/>
        </w:rPr>
      </w:pPr>
    </w:p>
    <w:p w14:paraId="62D65F83" w14:textId="77777777" w:rsidR="00A531A1" w:rsidRDefault="00A531A1" w:rsidP="00464ABB">
      <w:pPr>
        <w:jc w:val="center"/>
        <w:rPr>
          <w:rFonts w:asciiTheme="majorHAnsi" w:hAnsiTheme="majorHAnsi" w:cstheme="majorHAnsi"/>
          <w:sz w:val="22"/>
          <w:szCs w:val="22"/>
        </w:rPr>
      </w:pPr>
    </w:p>
    <w:p w14:paraId="0AF1FD73" w14:textId="3A9C4007" w:rsidR="001D0C4D" w:rsidRDefault="001D0C4D" w:rsidP="00464ABB">
      <w:pPr>
        <w:jc w:val="center"/>
        <w:rPr>
          <w:rFonts w:asciiTheme="majorHAnsi" w:hAnsiTheme="majorHAnsi" w:cstheme="majorHAnsi"/>
          <w:sz w:val="22"/>
          <w:szCs w:val="22"/>
        </w:rPr>
      </w:pPr>
    </w:p>
    <w:p w14:paraId="17512111" w14:textId="1E6E3875" w:rsidR="003D0CC1" w:rsidRDefault="003D0CC1" w:rsidP="00464ABB">
      <w:pPr>
        <w:jc w:val="center"/>
        <w:rPr>
          <w:rFonts w:asciiTheme="majorHAnsi" w:hAnsiTheme="majorHAnsi" w:cstheme="majorHAnsi"/>
          <w:sz w:val="22"/>
          <w:szCs w:val="22"/>
        </w:rPr>
      </w:pPr>
    </w:p>
    <w:p w14:paraId="0578AB96" w14:textId="015B4D1F" w:rsidR="003D0CC1" w:rsidRDefault="003D0CC1" w:rsidP="00464ABB">
      <w:pPr>
        <w:jc w:val="center"/>
        <w:rPr>
          <w:rFonts w:asciiTheme="majorHAnsi" w:hAnsiTheme="majorHAnsi" w:cstheme="majorHAnsi"/>
          <w:sz w:val="22"/>
          <w:szCs w:val="22"/>
        </w:rPr>
      </w:pPr>
    </w:p>
    <w:p w14:paraId="5B71AFE2" w14:textId="77777777" w:rsidR="004C6D7E" w:rsidRDefault="004C6D7E" w:rsidP="00464ABB">
      <w:pPr>
        <w:jc w:val="center"/>
        <w:rPr>
          <w:rFonts w:asciiTheme="majorHAnsi" w:hAnsiTheme="majorHAnsi" w:cstheme="majorHAnsi"/>
          <w:sz w:val="22"/>
          <w:szCs w:val="22"/>
        </w:rPr>
      </w:pPr>
    </w:p>
    <w:p w14:paraId="33755CB3" w14:textId="77777777" w:rsidR="004C6D7E" w:rsidRDefault="004C6D7E" w:rsidP="00464ABB">
      <w:pPr>
        <w:jc w:val="center"/>
        <w:rPr>
          <w:rFonts w:asciiTheme="majorHAnsi" w:hAnsiTheme="majorHAnsi" w:cstheme="majorHAnsi"/>
          <w:sz w:val="22"/>
          <w:szCs w:val="22"/>
        </w:rPr>
      </w:pPr>
    </w:p>
    <w:p w14:paraId="38721293" w14:textId="77777777" w:rsidR="004C6D7E" w:rsidRDefault="004C6D7E" w:rsidP="00464ABB">
      <w:pPr>
        <w:jc w:val="center"/>
        <w:rPr>
          <w:rFonts w:asciiTheme="majorHAnsi" w:hAnsiTheme="majorHAnsi" w:cstheme="majorHAnsi"/>
          <w:sz w:val="22"/>
          <w:szCs w:val="22"/>
        </w:rPr>
      </w:pPr>
    </w:p>
    <w:p w14:paraId="0B3F5930" w14:textId="77777777" w:rsidR="004C6D7E" w:rsidRDefault="004C6D7E" w:rsidP="00464ABB">
      <w:pPr>
        <w:jc w:val="center"/>
        <w:rPr>
          <w:rFonts w:asciiTheme="majorHAnsi" w:hAnsiTheme="majorHAnsi" w:cstheme="majorHAnsi"/>
          <w:sz w:val="22"/>
          <w:szCs w:val="22"/>
        </w:rPr>
      </w:pPr>
    </w:p>
    <w:p w14:paraId="26AA5782" w14:textId="6FEBE75F" w:rsidR="003D0CC1" w:rsidRDefault="003D0CC1" w:rsidP="00464ABB">
      <w:pPr>
        <w:jc w:val="center"/>
        <w:rPr>
          <w:rFonts w:asciiTheme="majorHAnsi" w:hAnsiTheme="majorHAnsi" w:cstheme="majorHAnsi"/>
          <w:sz w:val="22"/>
          <w:szCs w:val="22"/>
        </w:rPr>
      </w:pPr>
    </w:p>
    <w:p w14:paraId="4818285A" w14:textId="61D0D817" w:rsidR="003D0CC1" w:rsidRDefault="003D0CC1" w:rsidP="00464ABB">
      <w:pPr>
        <w:jc w:val="center"/>
        <w:rPr>
          <w:rFonts w:asciiTheme="majorHAnsi" w:hAnsiTheme="majorHAnsi" w:cstheme="majorHAnsi"/>
          <w:sz w:val="22"/>
          <w:szCs w:val="22"/>
        </w:rPr>
      </w:pPr>
    </w:p>
    <w:p w14:paraId="23FECA91" w14:textId="00ADD8D9" w:rsidR="003D0CC1" w:rsidRDefault="003D0CC1" w:rsidP="00464ABB">
      <w:pPr>
        <w:jc w:val="center"/>
        <w:rPr>
          <w:rFonts w:asciiTheme="majorHAnsi" w:hAnsiTheme="majorHAnsi" w:cstheme="majorHAnsi"/>
          <w:sz w:val="22"/>
          <w:szCs w:val="22"/>
        </w:rPr>
      </w:pPr>
    </w:p>
    <w:p w14:paraId="420DEED8" w14:textId="77777777" w:rsidR="00AD430E" w:rsidRDefault="00AD430E" w:rsidP="00183A59">
      <w:pPr>
        <w:rPr>
          <w:rFonts w:asciiTheme="majorHAnsi" w:hAnsiTheme="majorHAnsi" w:cstheme="majorHAnsi"/>
          <w:sz w:val="22"/>
          <w:szCs w:val="22"/>
        </w:rPr>
      </w:pPr>
    </w:p>
    <w:p w14:paraId="7231AC89" w14:textId="76B50026" w:rsidR="003D0CC1" w:rsidRDefault="003D0CC1" w:rsidP="00464ABB">
      <w:pPr>
        <w:jc w:val="center"/>
        <w:rPr>
          <w:rFonts w:asciiTheme="majorHAnsi" w:hAnsiTheme="majorHAnsi" w:cstheme="majorHAnsi"/>
          <w:sz w:val="22"/>
          <w:szCs w:val="22"/>
        </w:rPr>
      </w:pPr>
    </w:p>
    <w:p w14:paraId="18D39FBA" w14:textId="6520BFA6" w:rsidR="003D0CC1" w:rsidRDefault="003D0CC1" w:rsidP="00464ABB">
      <w:pPr>
        <w:jc w:val="center"/>
        <w:rPr>
          <w:rFonts w:asciiTheme="majorHAnsi" w:hAnsiTheme="majorHAnsi" w:cstheme="majorHAnsi"/>
          <w:sz w:val="22"/>
          <w:szCs w:val="22"/>
        </w:rPr>
      </w:pPr>
    </w:p>
    <w:p w14:paraId="3465396E" w14:textId="77777777" w:rsidR="001A2FAF" w:rsidRDefault="001A2FAF" w:rsidP="00464ABB">
      <w:pPr>
        <w:jc w:val="center"/>
        <w:rPr>
          <w:rFonts w:asciiTheme="majorHAnsi" w:hAnsiTheme="majorHAnsi" w:cstheme="majorHAnsi"/>
          <w:sz w:val="22"/>
          <w:szCs w:val="22"/>
        </w:rPr>
      </w:pPr>
    </w:p>
    <w:p w14:paraId="2B6EB0A4" w14:textId="189F947F" w:rsidR="002C2341" w:rsidRDefault="002C2341" w:rsidP="00464ABB">
      <w:pPr>
        <w:jc w:val="center"/>
        <w:rPr>
          <w:rFonts w:asciiTheme="majorHAnsi" w:hAnsiTheme="majorHAnsi" w:cstheme="majorHAnsi"/>
          <w:sz w:val="22"/>
          <w:szCs w:val="22"/>
        </w:rPr>
      </w:pPr>
    </w:p>
    <w:p w14:paraId="3D108396" w14:textId="77777777" w:rsidR="001A2FAF" w:rsidRDefault="001A2FAF" w:rsidP="00464ABB">
      <w:pPr>
        <w:jc w:val="center"/>
        <w:rPr>
          <w:rFonts w:asciiTheme="majorHAnsi" w:hAnsiTheme="majorHAnsi" w:cstheme="majorHAnsi"/>
          <w:sz w:val="22"/>
          <w:szCs w:val="22"/>
        </w:rPr>
      </w:pPr>
    </w:p>
    <w:p w14:paraId="507B4C1C" w14:textId="77777777" w:rsidR="002C2341" w:rsidRDefault="002C2341" w:rsidP="00723AF5">
      <w:pPr>
        <w:jc w:val="both"/>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2C2341" w14:paraId="14C5BD2D" w14:textId="77777777" w:rsidTr="00CF0AD1">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E92C733"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F0D26F" w14:textId="342E5596" w:rsidR="002C2341" w:rsidRPr="00C55BC5" w:rsidRDefault="002C2341" w:rsidP="00C55BC5">
            <w:pPr>
              <w:rPr>
                <w:rFonts w:asciiTheme="majorHAnsi" w:hAnsiTheme="majorHAnsi" w:cstheme="majorHAnsi"/>
                <w:sz w:val="22"/>
                <w:szCs w:val="22"/>
              </w:rPr>
            </w:pPr>
            <w:r w:rsidRPr="00C55BC5">
              <w:rPr>
                <w:rFonts w:asciiTheme="majorHAnsi" w:hAnsiTheme="majorHAnsi" w:cstheme="majorHAnsi"/>
                <w:sz w:val="22"/>
                <w:szCs w:val="22"/>
              </w:rPr>
              <w:t xml:space="preserve">Exchange traded products (exchange traded funds, exchange traded notes and exchange traded commodities) </w:t>
            </w:r>
          </w:p>
        </w:tc>
      </w:tr>
      <w:tr w:rsidR="002C2341" w14:paraId="01B35218" w14:textId="77777777" w:rsidTr="00CF0AD1">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0F71A74"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E82F9" w14:textId="2A590555" w:rsidR="002C2341" w:rsidRPr="00CF3001" w:rsidRDefault="002C2341"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2C2341" w14:paraId="2D596BA2" w14:textId="77777777" w:rsidTr="00CF0AD1">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611435" w14:textId="77777777" w:rsidR="002C2341" w:rsidRPr="00CF3001" w:rsidRDefault="002C2341" w:rsidP="00CF0AD1">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512144"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7604FF"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3AA7590"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6D07BA"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0ACE5280" w14:textId="77777777" w:rsidR="002C2341" w:rsidRPr="00CF3001" w:rsidRDefault="002C2341" w:rsidP="00CF0AD1">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3FA994" w14:textId="77777777" w:rsidR="002C2341" w:rsidRPr="00CF3001" w:rsidRDefault="002C2341" w:rsidP="00CF0AD1">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AD7543" w14:paraId="7ECA7352" w14:textId="77777777" w:rsidTr="0030142E">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9197911" w14:textId="77777777" w:rsidR="00AD7543" w:rsidRPr="001A2FAF" w:rsidRDefault="00AD7543" w:rsidP="00AD7543">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5A82E9A9" w14:textId="01465181" w:rsidR="00AD7543" w:rsidRPr="00CF3001" w:rsidRDefault="00AD7543" w:rsidP="00AD7543">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B4AE0FE" w14:textId="7842D42A"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55.59</w:t>
            </w:r>
            <w:r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2A65FFE" w14:textId="6699A9E8"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32.94</w:t>
            </w:r>
            <w:r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33BD6685" w14:textId="75A8AEB8"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0412CE97" w14:textId="6343BC9B"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608C3B43" w14:textId="38A77893" w:rsidR="00AD7543" w:rsidRPr="00CF3001" w:rsidRDefault="00AD7543" w:rsidP="00AD7543">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AD7543" w14:paraId="36DF3D19" w14:textId="77777777" w:rsidTr="00F92789">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0F69777" w14:textId="77777777" w:rsidR="00AD7543" w:rsidRDefault="00AD7543" w:rsidP="00AD7543">
            <w:pPr>
              <w:rPr>
                <w:rFonts w:asciiTheme="majorHAnsi" w:hAnsiTheme="majorHAnsi" w:cstheme="majorHAnsi"/>
                <w:sz w:val="22"/>
                <w:szCs w:val="22"/>
              </w:rPr>
            </w:pPr>
            <w:r w:rsidRPr="002C2341">
              <w:rPr>
                <w:rFonts w:asciiTheme="majorHAnsi" w:hAnsiTheme="majorHAnsi" w:cstheme="majorHAnsi"/>
                <w:sz w:val="22"/>
                <w:szCs w:val="22"/>
              </w:rPr>
              <w:t>Sanlam Securities UK Limited</w:t>
            </w:r>
          </w:p>
          <w:p w14:paraId="37B705E7" w14:textId="0F1D6EF3" w:rsidR="00AD7543" w:rsidRPr="00CF3001" w:rsidRDefault="00AD7543" w:rsidP="00AD7543">
            <w:pPr>
              <w:rPr>
                <w:rFonts w:asciiTheme="majorHAnsi" w:hAnsiTheme="majorHAnsi" w:cstheme="majorHAnsi"/>
                <w:sz w:val="22"/>
                <w:szCs w:val="22"/>
              </w:rPr>
            </w:pPr>
            <w:r w:rsidRPr="0064066E">
              <w:rPr>
                <w:rFonts w:asciiTheme="majorHAnsi" w:hAnsiTheme="majorHAnsi" w:cstheme="majorHAnsi"/>
                <w:sz w:val="20"/>
                <w:szCs w:val="20"/>
              </w:rPr>
              <w:t>LEI Code 2138006VCI4XWW7H6X35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6A452A" w14:textId="5DED3363"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38.36</w:t>
            </w:r>
            <w:r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EEC125C" w14:textId="5039C378"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22.29</w:t>
            </w:r>
            <w:r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1890C71" w14:textId="6CF913C2"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1AF2DA8" w14:textId="2A77DE2F"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1877615F" w14:textId="53936958" w:rsidR="00AD7543" w:rsidRPr="00CF3001" w:rsidRDefault="00AD7543" w:rsidP="00AD7543">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AD7543" w14:paraId="2357FF69" w14:textId="77777777" w:rsidTr="00365B4F">
        <w:trPr>
          <w:trHeight w:val="360"/>
        </w:trPr>
        <w:tc>
          <w:tcPr>
            <w:tcW w:w="322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97D3808" w14:textId="77777777" w:rsidR="00AD7543" w:rsidRDefault="00AD7543" w:rsidP="00AD7543">
            <w:pPr>
              <w:rPr>
                <w:rFonts w:asciiTheme="majorHAnsi" w:hAnsiTheme="majorHAnsi" w:cstheme="majorHAnsi"/>
                <w:sz w:val="22"/>
                <w:szCs w:val="22"/>
              </w:rPr>
            </w:pPr>
            <w:r w:rsidRPr="002C2341">
              <w:rPr>
                <w:rFonts w:asciiTheme="majorHAnsi" w:hAnsiTheme="majorHAnsi" w:cstheme="majorHAnsi"/>
                <w:sz w:val="22"/>
                <w:szCs w:val="22"/>
              </w:rPr>
              <w:t>Winterflood Securities Limited</w:t>
            </w:r>
          </w:p>
          <w:p w14:paraId="2D37BBC7" w14:textId="33DB7442" w:rsidR="00AD7543" w:rsidRPr="00CF3001" w:rsidRDefault="00AD7543" w:rsidP="00AD7543">
            <w:pPr>
              <w:jc w:val="cente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69"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4E2B9703" w14:textId="6BC5CA96"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6.05</w:t>
            </w:r>
            <w:r w:rsidRPr="002C234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94D2022" w14:textId="4E2A7096" w:rsidR="00AD7543" w:rsidRPr="00CF3001" w:rsidRDefault="00AD7543" w:rsidP="00AD7543">
            <w:pPr>
              <w:jc w:val="center"/>
              <w:rPr>
                <w:rFonts w:asciiTheme="majorHAnsi" w:hAnsiTheme="majorHAnsi" w:cstheme="majorHAnsi"/>
                <w:sz w:val="22"/>
                <w:szCs w:val="22"/>
              </w:rPr>
            </w:pPr>
            <w:r>
              <w:rPr>
                <w:rFonts w:asciiTheme="majorHAnsi" w:hAnsiTheme="majorHAnsi" w:cstheme="majorHAnsi"/>
                <w:sz w:val="22"/>
                <w:szCs w:val="22"/>
              </w:rPr>
              <w:t>44.77</w:t>
            </w:r>
            <w:r w:rsidRPr="002C234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1ED6B496" w14:textId="390E51A1"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2DDA9843" w14:textId="755E53C5" w:rsidR="00AD7543" w:rsidRPr="00CF300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36101DE7" w14:textId="5079429E" w:rsidR="00AD7543" w:rsidRPr="00CF3001" w:rsidRDefault="00457667" w:rsidP="00AD7543">
            <w:pPr>
              <w:jc w:val="center"/>
              <w:rPr>
                <w:rFonts w:asciiTheme="majorHAnsi" w:hAnsiTheme="majorHAnsi" w:cstheme="majorHAnsi"/>
                <w:sz w:val="22"/>
                <w:szCs w:val="22"/>
              </w:rPr>
            </w:pPr>
            <w:r>
              <w:rPr>
                <w:rFonts w:asciiTheme="majorHAnsi" w:hAnsiTheme="majorHAnsi" w:cstheme="majorHAnsi"/>
                <w:sz w:val="22"/>
                <w:szCs w:val="22"/>
              </w:rPr>
              <w:t>0%</w:t>
            </w:r>
          </w:p>
        </w:tc>
      </w:tr>
      <w:tr w:rsidR="00AD7543" w14:paraId="33B63FAF" w14:textId="77777777" w:rsidTr="00F92789">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078F4E" w14:textId="30004335"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11668C" w14:textId="11082A65"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7E013" w14:textId="52BDD706"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7C2339" w14:textId="03E1AE99"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603852" w14:textId="3ED2D1FF"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5D69F1" w14:textId="79886FD9"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r>
      <w:tr w:rsidR="00AD7543" w14:paraId="1B831CD5" w14:textId="77777777" w:rsidTr="00F92789">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7D6444" w14:textId="623E7480"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7C33FB" w14:textId="014F1AA5"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E315A0" w14:textId="57EEEC07"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C1751D" w14:textId="03F3E633"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B6B925" w14:textId="38CF0891"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E99198" w14:textId="0237DB7C" w:rsidR="00AD7543" w:rsidRPr="002C2341" w:rsidRDefault="00AD7543" w:rsidP="00AD7543">
            <w:pPr>
              <w:jc w:val="center"/>
              <w:rPr>
                <w:rFonts w:asciiTheme="majorHAnsi" w:hAnsiTheme="majorHAnsi" w:cstheme="majorHAnsi"/>
                <w:sz w:val="22"/>
                <w:szCs w:val="22"/>
              </w:rPr>
            </w:pPr>
            <w:r w:rsidRPr="00C05229">
              <w:rPr>
                <w:rFonts w:asciiTheme="majorHAnsi" w:hAnsiTheme="majorHAnsi" w:cstheme="majorHAnsi"/>
                <w:sz w:val="22"/>
                <w:szCs w:val="22"/>
              </w:rPr>
              <w:t>n/a</w:t>
            </w:r>
          </w:p>
        </w:tc>
      </w:tr>
    </w:tbl>
    <w:p w14:paraId="2523A16B" w14:textId="77777777" w:rsidR="002C2341" w:rsidRDefault="002C2341" w:rsidP="00723AF5">
      <w:pPr>
        <w:jc w:val="both"/>
        <w:rPr>
          <w:rFonts w:asciiTheme="majorHAnsi" w:hAnsiTheme="majorHAnsi" w:cstheme="majorHAnsi"/>
          <w:sz w:val="22"/>
          <w:szCs w:val="22"/>
        </w:rPr>
      </w:pPr>
    </w:p>
    <w:p w14:paraId="024B0729" w14:textId="6B8E28CD" w:rsidR="00D80908" w:rsidRDefault="00D80908" w:rsidP="00D80908">
      <w:pPr>
        <w:ind w:left="-709"/>
        <w:jc w:val="both"/>
        <w:rPr>
          <w:rFonts w:asciiTheme="majorHAnsi" w:hAnsiTheme="majorHAnsi" w:cstheme="majorHAnsi"/>
          <w:sz w:val="22"/>
          <w:szCs w:val="22"/>
        </w:rPr>
      </w:pPr>
      <w:r>
        <w:rPr>
          <w:rFonts w:asciiTheme="majorHAnsi" w:hAnsiTheme="majorHAnsi" w:cstheme="majorHAnsi"/>
          <w:sz w:val="22"/>
          <w:szCs w:val="22"/>
        </w:rPr>
        <w:t xml:space="preserve">We tend </w:t>
      </w:r>
      <w:r w:rsidR="00112AF1">
        <w:rPr>
          <w:rFonts w:asciiTheme="majorHAnsi" w:hAnsiTheme="majorHAnsi" w:cstheme="majorHAnsi"/>
          <w:sz w:val="22"/>
          <w:szCs w:val="22"/>
        </w:rPr>
        <w:t>to trade liquid and vanilla ETF</w:t>
      </w:r>
      <w:r>
        <w:rPr>
          <w:rFonts w:asciiTheme="majorHAnsi" w:hAnsiTheme="majorHAnsi" w:cstheme="majorHAnsi"/>
          <w:sz w:val="22"/>
          <w:szCs w:val="22"/>
        </w:rPr>
        <w:t>s, therefore the execution fa</w:t>
      </w:r>
      <w:r w:rsidR="004066A1">
        <w:rPr>
          <w:rFonts w:asciiTheme="majorHAnsi" w:hAnsiTheme="majorHAnsi" w:cstheme="majorHAnsi"/>
          <w:sz w:val="22"/>
          <w:szCs w:val="22"/>
        </w:rPr>
        <w:t>ctors considered were as follow</w:t>
      </w:r>
      <w:r>
        <w:rPr>
          <w:rFonts w:asciiTheme="majorHAnsi" w:hAnsiTheme="majorHAnsi" w:cstheme="majorHAnsi"/>
          <w:sz w:val="22"/>
          <w:szCs w:val="22"/>
        </w:rPr>
        <w:t>:</w:t>
      </w:r>
    </w:p>
    <w:p w14:paraId="135E506B" w14:textId="77777777" w:rsidR="00D80908" w:rsidRDefault="00D80908" w:rsidP="00D80908">
      <w:pPr>
        <w:ind w:hanging="284"/>
        <w:jc w:val="both"/>
        <w:rPr>
          <w:rFonts w:asciiTheme="majorHAnsi" w:hAnsiTheme="majorHAnsi" w:cstheme="majorHAnsi"/>
          <w:sz w:val="22"/>
          <w:szCs w:val="22"/>
        </w:rPr>
      </w:pPr>
    </w:p>
    <w:p w14:paraId="70130DA4" w14:textId="77777777" w:rsidR="005B2A97" w:rsidRDefault="005B2A97" w:rsidP="005B2A97">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Price</w:t>
      </w:r>
    </w:p>
    <w:p w14:paraId="25FF3FF8" w14:textId="77777777" w:rsidR="005B2A97" w:rsidRDefault="005B2A97" w:rsidP="005B2A97">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Size</w:t>
      </w:r>
    </w:p>
    <w:p w14:paraId="4C45DC71" w14:textId="77777777" w:rsidR="005B2A97" w:rsidRDefault="005B2A97" w:rsidP="005B2A97">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2F26C29A" w14:textId="77777777" w:rsidR="005B2A97" w:rsidRDefault="005B2A97" w:rsidP="005B2A97">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Costs</w:t>
      </w:r>
    </w:p>
    <w:p w14:paraId="62F45824" w14:textId="77777777" w:rsidR="002C2341" w:rsidRDefault="002C2341" w:rsidP="00723AF5">
      <w:pPr>
        <w:jc w:val="both"/>
        <w:rPr>
          <w:rFonts w:asciiTheme="majorHAnsi" w:hAnsiTheme="majorHAnsi" w:cstheme="majorHAnsi"/>
          <w:sz w:val="22"/>
          <w:szCs w:val="22"/>
        </w:rPr>
      </w:pPr>
    </w:p>
    <w:p w14:paraId="52E647DA" w14:textId="77777777" w:rsidR="002C2341" w:rsidRDefault="002C2341" w:rsidP="00723AF5">
      <w:pPr>
        <w:jc w:val="both"/>
        <w:rPr>
          <w:rFonts w:asciiTheme="majorHAnsi" w:hAnsiTheme="majorHAnsi" w:cstheme="majorHAnsi"/>
          <w:sz w:val="22"/>
          <w:szCs w:val="22"/>
        </w:rPr>
      </w:pPr>
    </w:p>
    <w:p w14:paraId="7A653F50" w14:textId="77777777" w:rsidR="00D80908" w:rsidRDefault="00D80908" w:rsidP="00723AF5">
      <w:pPr>
        <w:jc w:val="both"/>
        <w:rPr>
          <w:rFonts w:asciiTheme="majorHAnsi" w:hAnsiTheme="majorHAnsi" w:cstheme="majorHAnsi"/>
          <w:sz w:val="22"/>
          <w:szCs w:val="22"/>
        </w:rPr>
      </w:pPr>
    </w:p>
    <w:p w14:paraId="193AEA02" w14:textId="77777777" w:rsidR="00D80908" w:rsidRDefault="00D80908" w:rsidP="00723AF5">
      <w:pPr>
        <w:jc w:val="both"/>
        <w:rPr>
          <w:rFonts w:asciiTheme="majorHAnsi" w:hAnsiTheme="majorHAnsi" w:cstheme="majorHAnsi"/>
          <w:sz w:val="22"/>
          <w:szCs w:val="22"/>
        </w:rPr>
      </w:pPr>
    </w:p>
    <w:p w14:paraId="09B67F9A" w14:textId="77777777" w:rsidR="002C2341" w:rsidRDefault="002C2341" w:rsidP="002C2341">
      <w:pPr>
        <w:pStyle w:val="ListParagraph"/>
        <w:jc w:val="both"/>
        <w:rPr>
          <w:rFonts w:asciiTheme="majorHAnsi" w:hAnsiTheme="majorHAnsi" w:cstheme="majorHAnsi"/>
          <w:sz w:val="22"/>
          <w:szCs w:val="22"/>
        </w:rPr>
      </w:pPr>
    </w:p>
    <w:p w14:paraId="4895C927" w14:textId="77777777" w:rsidR="002C2341" w:rsidRDefault="002C2341" w:rsidP="002C2341">
      <w:pPr>
        <w:pStyle w:val="ListParagraph"/>
        <w:jc w:val="both"/>
        <w:rPr>
          <w:rFonts w:asciiTheme="majorHAnsi" w:hAnsiTheme="majorHAnsi" w:cstheme="majorHAnsi"/>
          <w:sz w:val="22"/>
          <w:szCs w:val="22"/>
        </w:rPr>
      </w:pPr>
    </w:p>
    <w:p w14:paraId="3552B2AA" w14:textId="77777777" w:rsidR="002C2341" w:rsidRDefault="002C2341" w:rsidP="002C2341">
      <w:pPr>
        <w:pStyle w:val="ListParagraph"/>
        <w:jc w:val="both"/>
        <w:rPr>
          <w:rFonts w:asciiTheme="majorHAnsi" w:hAnsiTheme="majorHAnsi" w:cstheme="majorHAnsi"/>
          <w:sz w:val="22"/>
          <w:szCs w:val="22"/>
        </w:rPr>
      </w:pPr>
    </w:p>
    <w:p w14:paraId="184D3A5E" w14:textId="77777777" w:rsidR="004C6D7E" w:rsidRDefault="004C6D7E" w:rsidP="002C2341">
      <w:pPr>
        <w:pStyle w:val="ListParagraph"/>
        <w:jc w:val="both"/>
        <w:rPr>
          <w:rFonts w:asciiTheme="majorHAnsi" w:hAnsiTheme="majorHAnsi" w:cstheme="majorHAnsi"/>
          <w:sz w:val="22"/>
          <w:szCs w:val="22"/>
        </w:rPr>
      </w:pPr>
    </w:p>
    <w:p w14:paraId="65C4D6E7" w14:textId="77777777" w:rsidR="004C6D7E" w:rsidRDefault="004C6D7E" w:rsidP="002C2341">
      <w:pPr>
        <w:pStyle w:val="ListParagraph"/>
        <w:jc w:val="both"/>
        <w:rPr>
          <w:rFonts w:asciiTheme="majorHAnsi" w:hAnsiTheme="majorHAnsi" w:cstheme="majorHAnsi"/>
          <w:sz w:val="22"/>
          <w:szCs w:val="22"/>
        </w:rPr>
      </w:pPr>
    </w:p>
    <w:p w14:paraId="4B7542F2" w14:textId="77777777" w:rsidR="004C6D7E" w:rsidRDefault="004C6D7E" w:rsidP="002C2341">
      <w:pPr>
        <w:pStyle w:val="ListParagraph"/>
        <w:jc w:val="both"/>
        <w:rPr>
          <w:rFonts w:asciiTheme="majorHAnsi" w:hAnsiTheme="majorHAnsi" w:cstheme="majorHAnsi"/>
          <w:sz w:val="22"/>
          <w:szCs w:val="22"/>
        </w:rPr>
      </w:pPr>
    </w:p>
    <w:p w14:paraId="6C960E62" w14:textId="77777777" w:rsidR="004C6D7E" w:rsidRDefault="004C6D7E" w:rsidP="002C2341">
      <w:pPr>
        <w:pStyle w:val="ListParagraph"/>
        <w:jc w:val="both"/>
        <w:rPr>
          <w:rFonts w:asciiTheme="majorHAnsi" w:hAnsiTheme="majorHAnsi" w:cstheme="majorHAnsi"/>
          <w:sz w:val="22"/>
          <w:szCs w:val="22"/>
        </w:rPr>
      </w:pPr>
    </w:p>
    <w:p w14:paraId="53B2C8F3" w14:textId="77777777" w:rsidR="004C6D7E" w:rsidRDefault="004C6D7E" w:rsidP="002C2341">
      <w:pPr>
        <w:pStyle w:val="ListParagraph"/>
        <w:jc w:val="both"/>
        <w:rPr>
          <w:rFonts w:asciiTheme="majorHAnsi" w:hAnsiTheme="majorHAnsi" w:cstheme="majorHAnsi"/>
          <w:sz w:val="22"/>
          <w:szCs w:val="22"/>
        </w:rPr>
      </w:pPr>
    </w:p>
    <w:p w14:paraId="0CD3FC28" w14:textId="77777777" w:rsidR="004C6D7E" w:rsidRDefault="004C6D7E" w:rsidP="002C2341">
      <w:pPr>
        <w:pStyle w:val="ListParagraph"/>
        <w:jc w:val="both"/>
        <w:rPr>
          <w:rFonts w:asciiTheme="majorHAnsi" w:hAnsiTheme="majorHAnsi" w:cstheme="majorHAnsi"/>
          <w:sz w:val="22"/>
          <w:szCs w:val="22"/>
        </w:rPr>
      </w:pPr>
    </w:p>
    <w:p w14:paraId="3B7D30E5" w14:textId="77777777" w:rsidR="004C6D7E" w:rsidRDefault="004C6D7E" w:rsidP="002C2341">
      <w:pPr>
        <w:pStyle w:val="ListParagraph"/>
        <w:jc w:val="both"/>
        <w:rPr>
          <w:rFonts w:asciiTheme="majorHAnsi" w:hAnsiTheme="majorHAnsi" w:cstheme="majorHAnsi"/>
          <w:sz w:val="22"/>
          <w:szCs w:val="22"/>
        </w:rPr>
      </w:pPr>
    </w:p>
    <w:p w14:paraId="4CC99B08" w14:textId="70679456" w:rsidR="004C6D7E" w:rsidRDefault="004C6D7E" w:rsidP="002C2341">
      <w:pPr>
        <w:pStyle w:val="ListParagraph"/>
        <w:jc w:val="both"/>
        <w:rPr>
          <w:rFonts w:asciiTheme="majorHAnsi" w:hAnsiTheme="majorHAnsi" w:cstheme="majorHAnsi"/>
          <w:sz w:val="22"/>
          <w:szCs w:val="22"/>
        </w:rPr>
      </w:pPr>
    </w:p>
    <w:p w14:paraId="50B29529" w14:textId="6E1131B7" w:rsidR="00AD7543" w:rsidRDefault="00AD7543" w:rsidP="002C2341">
      <w:pPr>
        <w:pStyle w:val="ListParagraph"/>
        <w:jc w:val="both"/>
        <w:rPr>
          <w:rFonts w:asciiTheme="majorHAnsi" w:hAnsiTheme="majorHAnsi" w:cstheme="majorHAnsi"/>
          <w:sz w:val="22"/>
          <w:szCs w:val="22"/>
        </w:rPr>
      </w:pPr>
    </w:p>
    <w:p w14:paraId="24AD21EF" w14:textId="20FB8965" w:rsidR="00AD7543" w:rsidRDefault="00AD7543" w:rsidP="002C2341">
      <w:pPr>
        <w:pStyle w:val="ListParagraph"/>
        <w:jc w:val="both"/>
        <w:rPr>
          <w:rFonts w:asciiTheme="majorHAnsi" w:hAnsiTheme="majorHAnsi" w:cstheme="majorHAnsi"/>
          <w:sz w:val="22"/>
          <w:szCs w:val="22"/>
        </w:rPr>
      </w:pPr>
    </w:p>
    <w:p w14:paraId="6CD2AAAD" w14:textId="541FF764" w:rsidR="00AD7543" w:rsidRDefault="00AD7543" w:rsidP="002C2341">
      <w:pPr>
        <w:pStyle w:val="ListParagraph"/>
        <w:jc w:val="both"/>
        <w:rPr>
          <w:rFonts w:asciiTheme="majorHAnsi" w:hAnsiTheme="majorHAnsi" w:cstheme="majorHAnsi"/>
          <w:sz w:val="22"/>
          <w:szCs w:val="22"/>
        </w:rPr>
      </w:pPr>
    </w:p>
    <w:p w14:paraId="69629B21" w14:textId="77777777" w:rsidR="005B2A97" w:rsidRDefault="005B2A97" w:rsidP="002C2341">
      <w:pPr>
        <w:pStyle w:val="ListParagraph"/>
        <w:jc w:val="both"/>
        <w:rPr>
          <w:rFonts w:asciiTheme="majorHAnsi" w:hAnsiTheme="majorHAnsi" w:cstheme="majorHAnsi"/>
          <w:sz w:val="22"/>
          <w:szCs w:val="22"/>
        </w:rPr>
      </w:pPr>
    </w:p>
    <w:p w14:paraId="0AC3C015" w14:textId="77777777" w:rsidR="00AD7543" w:rsidRDefault="00AD7543" w:rsidP="002C2341">
      <w:pPr>
        <w:pStyle w:val="ListParagraph"/>
        <w:jc w:val="both"/>
        <w:rPr>
          <w:rFonts w:asciiTheme="majorHAnsi" w:hAnsiTheme="majorHAnsi" w:cstheme="majorHAnsi"/>
          <w:sz w:val="22"/>
          <w:szCs w:val="22"/>
        </w:rPr>
      </w:pPr>
    </w:p>
    <w:p w14:paraId="6D4D5393" w14:textId="77777777" w:rsidR="004C6D7E" w:rsidRDefault="004C6D7E" w:rsidP="002C2341">
      <w:pPr>
        <w:pStyle w:val="ListParagraph"/>
        <w:jc w:val="both"/>
        <w:rPr>
          <w:rFonts w:asciiTheme="majorHAnsi" w:hAnsiTheme="majorHAnsi" w:cstheme="majorHAnsi"/>
          <w:sz w:val="22"/>
          <w:szCs w:val="22"/>
        </w:rPr>
      </w:pPr>
    </w:p>
    <w:p w14:paraId="4A8C2E28" w14:textId="77777777" w:rsidR="004C6D7E" w:rsidRDefault="004C6D7E" w:rsidP="002C2341">
      <w:pPr>
        <w:pStyle w:val="ListParagraph"/>
        <w:jc w:val="both"/>
        <w:rPr>
          <w:rFonts w:asciiTheme="majorHAnsi" w:hAnsiTheme="majorHAnsi" w:cstheme="majorHAnsi"/>
          <w:sz w:val="22"/>
          <w:szCs w:val="22"/>
        </w:rPr>
      </w:pPr>
    </w:p>
    <w:p w14:paraId="7ED382D4" w14:textId="63F50444" w:rsidR="004C6D7E" w:rsidRDefault="004C6D7E" w:rsidP="002C2341">
      <w:pPr>
        <w:pStyle w:val="ListParagraph"/>
        <w:jc w:val="both"/>
        <w:rPr>
          <w:rFonts w:asciiTheme="majorHAnsi" w:hAnsiTheme="majorHAnsi" w:cstheme="majorHAnsi"/>
          <w:sz w:val="22"/>
          <w:szCs w:val="22"/>
        </w:rPr>
      </w:pPr>
    </w:p>
    <w:p w14:paraId="49B196D2" w14:textId="77777777" w:rsidR="00AD7543" w:rsidRDefault="00AD7543" w:rsidP="002C2341">
      <w:pPr>
        <w:pStyle w:val="ListParagraph"/>
        <w:jc w:val="both"/>
        <w:rPr>
          <w:rFonts w:asciiTheme="majorHAnsi" w:hAnsiTheme="majorHAnsi" w:cstheme="majorHAnsi"/>
          <w:sz w:val="22"/>
          <w:szCs w:val="2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AD7543" w14:paraId="08C64975" w14:textId="77777777" w:rsidTr="00E7441C">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AA26FBC" w14:textId="77777777" w:rsidR="00AD7543" w:rsidRPr="00CF3001" w:rsidRDefault="00AD7543" w:rsidP="00E7441C">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4A56951" w14:textId="24E7540A" w:rsidR="00AD7543" w:rsidRPr="00C55BC5" w:rsidRDefault="00AD7543" w:rsidP="00E7441C">
            <w:pPr>
              <w:rPr>
                <w:rFonts w:asciiTheme="majorHAnsi" w:hAnsiTheme="majorHAnsi" w:cstheme="majorHAnsi"/>
                <w:sz w:val="22"/>
                <w:szCs w:val="22"/>
              </w:rPr>
            </w:pPr>
            <w:r>
              <w:rPr>
                <w:rFonts w:asciiTheme="majorHAnsi" w:hAnsiTheme="majorHAnsi" w:cstheme="majorHAnsi"/>
                <w:sz w:val="22"/>
                <w:szCs w:val="22"/>
              </w:rPr>
              <w:t>Other Instruments</w:t>
            </w:r>
          </w:p>
        </w:tc>
      </w:tr>
      <w:tr w:rsidR="00AD7543" w14:paraId="5451B4C1" w14:textId="77777777" w:rsidTr="00E7441C">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39FCB8E3" w14:textId="77777777" w:rsidR="00AD7543" w:rsidRPr="00CF3001" w:rsidRDefault="00AD7543" w:rsidP="00E7441C">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4DBCD3" w14:textId="598FD77A" w:rsidR="00AD7543" w:rsidRPr="00CF3001" w:rsidRDefault="00AD7543" w:rsidP="001A2FAF">
            <w:pPr>
              <w:rPr>
                <w:rFonts w:asciiTheme="majorHAnsi" w:hAnsiTheme="majorHAnsi" w:cstheme="majorHAnsi"/>
                <w:sz w:val="22"/>
                <w:szCs w:val="22"/>
              </w:rPr>
            </w:pPr>
            <w:r w:rsidRPr="00CF3001">
              <w:rPr>
                <w:rFonts w:asciiTheme="majorHAnsi" w:hAnsiTheme="majorHAnsi" w:cstheme="majorHAnsi"/>
                <w:sz w:val="22"/>
                <w:szCs w:val="22"/>
              </w:rPr>
              <w:t>N</w:t>
            </w:r>
            <w:r w:rsidR="001A2FAF">
              <w:rPr>
                <w:rFonts w:asciiTheme="majorHAnsi" w:hAnsiTheme="majorHAnsi" w:cstheme="majorHAnsi"/>
                <w:sz w:val="22"/>
                <w:szCs w:val="22"/>
              </w:rPr>
              <w:t>o</w:t>
            </w:r>
          </w:p>
        </w:tc>
      </w:tr>
      <w:tr w:rsidR="00AD7543" w14:paraId="2CF62655" w14:textId="77777777" w:rsidTr="00E7441C">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90429A" w14:textId="77777777" w:rsidR="00AD7543" w:rsidRPr="00CF3001" w:rsidRDefault="00AD7543" w:rsidP="00E7441C">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57FCC5" w14:textId="77777777" w:rsidR="00AD7543" w:rsidRPr="00CF3001" w:rsidRDefault="00AD7543" w:rsidP="00E7441C">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488B77C" w14:textId="77777777" w:rsidR="00AD7543" w:rsidRPr="00CF3001" w:rsidRDefault="00AD7543" w:rsidP="00E7441C">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F3C015" w14:textId="77777777" w:rsidR="00AD7543" w:rsidRPr="00CF3001" w:rsidRDefault="00AD7543" w:rsidP="00E7441C">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1C9A4C" w14:textId="77777777" w:rsidR="00AD7543" w:rsidRPr="00CF3001" w:rsidRDefault="00AD7543" w:rsidP="00E7441C">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158146D" w14:textId="77777777" w:rsidR="00AD7543" w:rsidRPr="00CF3001" w:rsidRDefault="00AD7543" w:rsidP="00E7441C">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14831A" w14:textId="77777777" w:rsidR="00AD7543" w:rsidRPr="00CF3001" w:rsidRDefault="00AD7543" w:rsidP="00E7441C">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3F407E" w14:paraId="444D7BA0" w14:textId="77777777" w:rsidTr="00E7441C">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16E35DF" w14:textId="77777777" w:rsidR="003F407E" w:rsidRDefault="003F407E" w:rsidP="003F407E">
            <w:pPr>
              <w:rPr>
                <w:rFonts w:asciiTheme="majorHAnsi" w:hAnsiTheme="majorHAnsi" w:cstheme="majorHAnsi"/>
                <w:sz w:val="22"/>
                <w:szCs w:val="22"/>
              </w:rPr>
            </w:pPr>
            <w:r w:rsidRPr="002C2341">
              <w:rPr>
                <w:rFonts w:asciiTheme="majorHAnsi" w:hAnsiTheme="majorHAnsi" w:cstheme="majorHAnsi"/>
                <w:sz w:val="22"/>
                <w:szCs w:val="22"/>
              </w:rPr>
              <w:t>Winterflood Securities Limited</w:t>
            </w:r>
          </w:p>
          <w:p w14:paraId="1E60772B" w14:textId="6C157CDB" w:rsidR="003F407E" w:rsidRPr="00CF3001" w:rsidRDefault="003F407E" w:rsidP="003F407E">
            <w:pPr>
              <w:rPr>
                <w:rFonts w:asciiTheme="majorHAnsi" w:hAnsiTheme="majorHAnsi" w:cstheme="majorHAnsi"/>
                <w:sz w:val="22"/>
                <w:szCs w:val="22"/>
              </w:rPr>
            </w:pPr>
            <w:r w:rsidRPr="0064066E">
              <w:rPr>
                <w:rFonts w:asciiTheme="majorHAnsi" w:hAnsiTheme="majorHAnsi" w:cstheme="majorHAnsi"/>
                <w:sz w:val="20"/>
                <w:szCs w:val="20"/>
              </w:rPr>
              <w:t>LEI Code 8BRUP6V1DX3PIG2R0745</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5C87154" w14:textId="3F9D321C" w:rsidR="003F407E" w:rsidRPr="00CF3001" w:rsidRDefault="003F407E" w:rsidP="003F407E">
            <w:pPr>
              <w:jc w:val="center"/>
              <w:rPr>
                <w:rFonts w:asciiTheme="majorHAnsi" w:hAnsiTheme="majorHAnsi" w:cstheme="majorHAnsi"/>
                <w:sz w:val="22"/>
                <w:szCs w:val="22"/>
              </w:rPr>
            </w:pPr>
            <w:r>
              <w:rPr>
                <w:rFonts w:asciiTheme="majorHAnsi" w:hAnsiTheme="majorHAnsi" w:cstheme="majorHAnsi"/>
                <w:sz w:val="22"/>
                <w:szCs w:val="22"/>
              </w:rPr>
              <w:t>61.31</w:t>
            </w:r>
            <w:r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B09303" w14:textId="3C196A94" w:rsidR="003F407E" w:rsidRPr="00CF3001" w:rsidRDefault="003F407E" w:rsidP="003F407E">
            <w:pPr>
              <w:jc w:val="center"/>
              <w:rPr>
                <w:rFonts w:asciiTheme="majorHAnsi" w:hAnsiTheme="majorHAnsi" w:cstheme="majorHAnsi"/>
                <w:sz w:val="22"/>
                <w:szCs w:val="22"/>
              </w:rPr>
            </w:pPr>
            <w:r>
              <w:rPr>
                <w:rFonts w:asciiTheme="majorHAnsi" w:hAnsiTheme="majorHAnsi" w:cstheme="majorHAnsi"/>
                <w:sz w:val="22"/>
                <w:szCs w:val="22"/>
              </w:rPr>
              <w:t>71.43</w:t>
            </w:r>
            <w:r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0204985C"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0555B2BB"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43B650FB" w14:textId="77777777" w:rsidR="003F407E" w:rsidRPr="00CF3001" w:rsidRDefault="003F407E" w:rsidP="003F407E">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3F407E" w14:paraId="39E1D301" w14:textId="77777777" w:rsidTr="00E7441C">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DCA38A9" w14:textId="77777777" w:rsidR="003F407E" w:rsidRPr="001A2FAF" w:rsidRDefault="003F407E" w:rsidP="003F407E">
            <w:pPr>
              <w:rPr>
                <w:rFonts w:asciiTheme="majorHAnsi" w:hAnsiTheme="majorHAnsi" w:cstheme="majorHAnsi"/>
                <w:sz w:val="22"/>
                <w:szCs w:val="22"/>
              </w:rPr>
            </w:pPr>
            <w:r w:rsidRPr="001A2FAF">
              <w:rPr>
                <w:rFonts w:asciiTheme="majorHAnsi" w:hAnsiTheme="majorHAnsi" w:cstheme="majorHAnsi"/>
                <w:sz w:val="22"/>
                <w:szCs w:val="22"/>
              </w:rPr>
              <w:t>Pershing Securities Limited</w:t>
            </w:r>
          </w:p>
          <w:p w14:paraId="07443E05" w14:textId="51EC9DE2" w:rsidR="003F407E" w:rsidRPr="00CF3001" w:rsidRDefault="003F407E" w:rsidP="003F407E">
            <w:pPr>
              <w:rPr>
                <w:rFonts w:asciiTheme="majorHAnsi" w:hAnsiTheme="majorHAnsi" w:cstheme="majorHAnsi"/>
                <w:sz w:val="22"/>
                <w:szCs w:val="22"/>
              </w:rPr>
            </w:pPr>
            <w:r w:rsidRPr="00633D24">
              <w:rPr>
                <w:rFonts w:asciiTheme="majorHAnsi" w:hAnsiTheme="majorHAnsi" w:cstheme="majorHAnsi" w:hint="eastAsia"/>
                <w:sz w:val="20"/>
                <w:szCs w:val="20"/>
              </w:rPr>
              <w:t xml:space="preserve">LEI Code </w:t>
            </w:r>
            <w:r w:rsidRPr="00633D24">
              <w:rPr>
                <w:rFonts w:asciiTheme="majorHAnsi" w:hAnsiTheme="majorHAnsi" w:cstheme="majorHAnsi"/>
                <w:sz w:val="20"/>
                <w:szCs w:val="20"/>
              </w:rPr>
              <w:t>549300NC3GURN0AEZU06</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00BFE3C" w14:textId="73BE3647" w:rsidR="003F407E" w:rsidRPr="00CF3001" w:rsidRDefault="003F407E" w:rsidP="003F407E">
            <w:pPr>
              <w:jc w:val="center"/>
              <w:rPr>
                <w:rFonts w:asciiTheme="majorHAnsi" w:hAnsiTheme="majorHAnsi" w:cstheme="majorHAnsi"/>
                <w:sz w:val="22"/>
                <w:szCs w:val="22"/>
              </w:rPr>
            </w:pPr>
            <w:r>
              <w:rPr>
                <w:rFonts w:asciiTheme="majorHAnsi" w:hAnsiTheme="majorHAnsi" w:cstheme="majorHAnsi"/>
                <w:sz w:val="22"/>
                <w:szCs w:val="22"/>
              </w:rPr>
              <w:t>38.69</w:t>
            </w:r>
            <w:r w:rsidRPr="002C234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7253B62" w14:textId="03016CEF" w:rsidR="003F407E" w:rsidRPr="00CF3001" w:rsidRDefault="003F407E" w:rsidP="003F407E">
            <w:pPr>
              <w:jc w:val="center"/>
              <w:rPr>
                <w:rFonts w:asciiTheme="majorHAnsi" w:hAnsiTheme="majorHAnsi" w:cstheme="majorHAnsi"/>
                <w:sz w:val="22"/>
                <w:szCs w:val="22"/>
              </w:rPr>
            </w:pPr>
            <w:r>
              <w:rPr>
                <w:rFonts w:asciiTheme="majorHAnsi" w:hAnsiTheme="majorHAnsi" w:cstheme="majorHAnsi"/>
                <w:sz w:val="22"/>
                <w:szCs w:val="22"/>
              </w:rPr>
              <w:t>28.57</w:t>
            </w:r>
            <w:r w:rsidRPr="002C234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7A63F48B"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67A95F72"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tcPr>
          <w:p w14:paraId="67BF886E" w14:textId="77777777" w:rsidR="003F407E" w:rsidRPr="00CF3001" w:rsidRDefault="003F407E" w:rsidP="003F407E">
            <w:pPr>
              <w:jc w:val="center"/>
              <w:rPr>
                <w:rFonts w:asciiTheme="majorHAnsi" w:hAnsiTheme="majorHAnsi" w:cstheme="majorHAnsi"/>
                <w:sz w:val="22"/>
                <w:szCs w:val="22"/>
              </w:rPr>
            </w:pPr>
            <w:r w:rsidRPr="00995480">
              <w:rPr>
                <w:rFonts w:asciiTheme="majorHAnsi" w:hAnsiTheme="majorHAnsi" w:cstheme="majorHAnsi"/>
                <w:sz w:val="22"/>
                <w:szCs w:val="22"/>
              </w:rPr>
              <w:t>0%</w:t>
            </w:r>
          </w:p>
        </w:tc>
      </w:tr>
      <w:tr w:rsidR="003F407E" w14:paraId="11BFFA82" w14:textId="77777777" w:rsidTr="001523A5">
        <w:trPr>
          <w:trHeight w:val="360"/>
        </w:trPr>
        <w:tc>
          <w:tcPr>
            <w:tcW w:w="322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75FCFAE3" w14:textId="4B22DD06"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nil"/>
              <w:left w:val="nil"/>
              <w:bottom w:val="single" w:sz="4" w:space="0" w:color="auto"/>
              <w:right w:val="single" w:sz="8" w:space="0" w:color="auto"/>
            </w:tcBorders>
            <w:noWrap/>
            <w:tcMar>
              <w:top w:w="0" w:type="dxa"/>
              <w:left w:w="108" w:type="dxa"/>
              <w:bottom w:w="0" w:type="dxa"/>
              <w:right w:w="108" w:type="dxa"/>
            </w:tcMar>
          </w:tcPr>
          <w:p w14:paraId="0531C1FE" w14:textId="1A175F5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tcPr>
          <w:p w14:paraId="60EBD38F" w14:textId="685264FE"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52200E2F"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32CCF6DE"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7C277BA9" w14:textId="77777777" w:rsidR="003F407E" w:rsidRPr="00CF300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r>
      <w:tr w:rsidR="003F407E" w14:paraId="30C1B79F" w14:textId="77777777" w:rsidTr="00E7441C">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FA074D"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F6BFAE"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246495"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33710A"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8435FE"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18354D"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r>
      <w:tr w:rsidR="003F407E" w14:paraId="6236EE79" w14:textId="77777777" w:rsidTr="00E7441C">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AE10ED"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CC167C"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876A57"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075688"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8F91D3"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DA0D23" w14:textId="77777777" w:rsidR="003F407E" w:rsidRPr="002C2341" w:rsidRDefault="003F407E" w:rsidP="003F407E">
            <w:pPr>
              <w:jc w:val="center"/>
              <w:rPr>
                <w:rFonts w:asciiTheme="majorHAnsi" w:hAnsiTheme="majorHAnsi" w:cstheme="majorHAnsi"/>
                <w:sz w:val="22"/>
                <w:szCs w:val="22"/>
              </w:rPr>
            </w:pPr>
            <w:r w:rsidRPr="00C05229">
              <w:rPr>
                <w:rFonts w:asciiTheme="majorHAnsi" w:hAnsiTheme="majorHAnsi" w:cstheme="majorHAnsi"/>
                <w:sz w:val="22"/>
                <w:szCs w:val="22"/>
              </w:rPr>
              <w:t>n/a</w:t>
            </w:r>
          </w:p>
        </w:tc>
      </w:tr>
    </w:tbl>
    <w:p w14:paraId="5790C54D" w14:textId="77777777" w:rsidR="004C6D7E" w:rsidRPr="001A2FAF" w:rsidRDefault="004C6D7E" w:rsidP="001A2FAF">
      <w:pPr>
        <w:jc w:val="both"/>
        <w:rPr>
          <w:rFonts w:asciiTheme="majorHAnsi" w:hAnsiTheme="majorHAnsi" w:cstheme="majorHAnsi"/>
          <w:sz w:val="22"/>
          <w:szCs w:val="22"/>
        </w:rPr>
      </w:pPr>
    </w:p>
    <w:p w14:paraId="67EDFC3A" w14:textId="77777777" w:rsidR="004C6D7E" w:rsidRDefault="004C6D7E" w:rsidP="002C2341">
      <w:pPr>
        <w:pStyle w:val="ListParagraph"/>
        <w:jc w:val="both"/>
        <w:rPr>
          <w:rFonts w:asciiTheme="majorHAnsi" w:hAnsiTheme="majorHAnsi" w:cstheme="majorHAnsi"/>
          <w:sz w:val="22"/>
          <w:szCs w:val="22"/>
        </w:rPr>
      </w:pPr>
    </w:p>
    <w:p w14:paraId="0369A071" w14:textId="77777777" w:rsidR="00AD7543" w:rsidRDefault="00AD7543" w:rsidP="00AD7543">
      <w:pPr>
        <w:ind w:left="-709"/>
        <w:jc w:val="both"/>
        <w:rPr>
          <w:rFonts w:asciiTheme="majorHAnsi" w:hAnsiTheme="majorHAnsi" w:cstheme="majorHAnsi"/>
          <w:sz w:val="22"/>
          <w:szCs w:val="22"/>
        </w:rPr>
      </w:pPr>
      <w:r>
        <w:rPr>
          <w:rFonts w:asciiTheme="majorHAnsi" w:hAnsiTheme="majorHAnsi" w:cstheme="majorHAnsi"/>
          <w:sz w:val="22"/>
          <w:szCs w:val="22"/>
        </w:rPr>
        <w:t>For primary offerings, we will generally compare multiple bids. I</w:t>
      </w:r>
      <w:r w:rsidRPr="00E13F60">
        <w:rPr>
          <w:rFonts w:asciiTheme="majorHAnsi" w:hAnsiTheme="majorHAnsi" w:cstheme="majorHAnsi"/>
          <w:sz w:val="22"/>
          <w:szCs w:val="22"/>
        </w:rPr>
        <w:t>n m</w:t>
      </w:r>
      <w:r>
        <w:rPr>
          <w:rFonts w:asciiTheme="majorHAnsi" w:hAnsiTheme="majorHAnsi" w:cstheme="majorHAnsi"/>
          <w:sz w:val="22"/>
          <w:szCs w:val="22"/>
        </w:rPr>
        <w:t xml:space="preserve">ost cases, the issuer selection </w:t>
      </w:r>
      <w:r w:rsidRPr="00E13F60">
        <w:rPr>
          <w:rFonts w:asciiTheme="majorHAnsi" w:hAnsiTheme="majorHAnsi" w:cstheme="majorHAnsi"/>
          <w:sz w:val="22"/>
          <w:szCs w:val="22"/>
        </w:rPr>
        <w:t>is a result of best deal economics</w:t>
      </w:r>
      <w:r>
        <w:rPr>
          <w:rFonts w:asciiTheme="majorHAnsi" w:hAnsiTheme="majorHAnsi" w:cstheme="majorHAnsi"/>
          <w:sz w:val="22"/>
          <w:szCs w:val="22"/>
        </w:rPr>
        <w:t>. In the majority of situations, secondary offerings are required to be executed with the same dealer which facilitated in the initial issuance of the products.  The execution factors we took into consideration were:</w:t>
      </w:r>
    </w:p>
    <w:p w14:paraId="063CCCCC" w14:textId="77777777" w:rsidR="00AD7543" w:rsidRDefault="00AD7543" w:rsidP="00AD7543">
      <w:pPr>
        <w:ind w:left="-709"/>
        <w:jc w:val="both"/>
        <w:rPr>
          <w:rFonts w:asciiTheme="majorHAnsi" w:hAnsiTheme="majorHAnsi" w:cstheme="majorHAnsi"/>
          <w:sz w:val="22"/>
          <w:szCs w:val="22"/>
        </w:rPr>
      </w:pPr>
    </w:p>
    <w:p w14:paraId="7ABAF9E6" w14:textId="77777777" w:rsidR="005B2A97" w:rsidRDefault="005B2A97" w:rsidP="005B2A97">
      <w:pPr>
        <w:pStyle w:val="ListParagraph"/>
        <w:numPr>
          <w:ilvl w:val="0"/>
          <w:numId w:val="29"/>
        </w:numPr>
        <w:jc w:val="both"/>
        <w:rPr>
          <w:rFonts w:asciiTheme="majorHAnsi" w:hAnsiTheme="majorHAnsi" w:cstheme="majorHAnsi"/>
          <w:sz w:val="22"/>
          <w:szCs w:val="22"/>
        </w:rPr>
      </w:pPr>
      <w:r>
        <w:rPr>
          <w:rFonts w:asciiTheme="majorHAnsi" w:hAnsiTheme="majorHAnsi" w:cstheme="majorHAnsi"/>
          <w:sz w:val="22"/>
          <w:szCs w:val="22"/>
        </w:rPr>
        <w:t>Price</w:t>
      </w:r>
    </w:p>
    <w:p w14:paraId="7211E44A" w14:textId="77777777" w:rsidR="005B2A97" w:rsidRDefault="005B2A97" w:rsidP="005B2A97">
      <w:pPr>
        <w:pStyle w:val="ListParagraph"/>
        <w:numPr>
          <w:ilvl w:val="0"/>
          <w:numId w:val="29"/>
        </w:numPr>
        <w:jc w:val="both"/>
        <w:rPr>
          <w:rFonts w:asciiTheme="majorHAnsi" w:hAnsiTheme="majorHAnsi" w:cstheme="majorHAnsi"/>
          <w:sz w:val="22"/>
          <w:szCs w:val="22"/>
        </w:rPr>
      </w:pPr>
      <w:r>
        <w:rPr>
          <w:rFonts w:asciiTheme="majorHAnsi" w:hAnsiTheme="majorHAnsi" w:cstheme="majorHAnsi"/>
          <w:sz w:val="22"/>
          <w:szCs w:val="22"/>
        </w:rPr>
        <w:t>Size</w:t>
      </w:r>
    </w:p>
    <w:p w14:paraId="336FCEEA" w14:textId="77777777" w:rsidR="005B2A97" w:rsidRDefault="005B2A97" w:rsidP="005B2A97">
      <w:pPr>
        <w:pStyle w:val="ListParagraph"/>
        <w:numPr>
          <w:ilvl w:val="0"/>
          <w:numId w:val="29"/>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6361AD5D" w14:textId="77777777" w:rsidR="005B2A97" w:rsidRDefault="005B2A97" w:rsidP="005B2A97">
      <w:pPr>
        <w:pStyle w:val="ListParagraph"/>
        <w:numPr>
          <w:ilvl w:val="0"/>
          <w:numId w:val="29"/>
        </w:numPr>
        <w:jc w:val="both"/>
        <w:rPr>
          <w:rFonts w:asciiTheme="majorHAnsi" w:hAnsiTheme="majorHAnsi" w:cstheme="majorHAnsi"/>
          <w:sz w:val="22"/>
          <w:szCs w:val="22"/>
        </w:rPr>
      </w:pPr>
      <w:r>
        <w:rPr>
          <w:rFonts w:asciiTheme="majorHAnsi" w:hAnsiTheme="majorHAnsi" w:cstheme="majorHAnsi"/>
          <w:sz w:val="22"/>
          <w:szCs w:val="22"/>
        </w:rPr>
        <w:t>Costs</w:t>
      </w:r>
    </w:p>
    <w:p w14:paraId="1330D2ED" w14:textId="4BBD1363" w:rsidR="00745789" w:rsidRPr="004A702D" w:rsidRDefault="00745789" w:rsidP="001A2FAF"/>
    <w:sectPr w:rsidR="00745789" w:rsidRPr="004A702D" w:rsidSect="003F624C">
      <w:headerReference w:type="default" r:id="rId8"/>
      <w:footerReference w:type="default" r:id="rId9"/>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D6C4" w14:textId="77777777" w:rsidR="00D21132" w:rsidRDefault="00D21132" w:rsidP="00054C03">
      <w:r>
        <w:separator/>
      </w:r>
    </w:p>
  </w:endnote>
  <w:endnote w:type="continuationSeparator" w:id="0">
    <w:p w14:paraId="24B48D1D" w14:textId="77777777" w:rsidR="00D21132" w:rsidRDefault="00D21132"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1899" w14:textId="0A16207E" w:rsidR="00D21132" w:rsidRDefault="00D21132">
    <w:pPr>
      <w:pStyle w:val="Footer"/>
      <w:jc w:val="right"/>
    </w:pPr>
  </w:p>
  <w:p w14:paraId="4D193C55" w14:textId="76D1E81A" w:rsidR="00D21132" w:rsidRPr="00217434" w:rsidRDefault="00D21132"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9</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EA5C" w14:textId="77777777" w:rsidR="00D21132" w:rsidRDefault="00D21132" w:rsidP="00054C03">
      <w:r>
        <w:separator/>
      </w:r>
    </w:p>
  </w:footnote>
  <w:footnote w:type="continuationSeparator" w:id="0">
    <w:p w14:paraId="7D08B96D" w14:textId="77777777" w:rsidR="00D21132" w:rsidRDefault="00D21132"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ABA8" w14:textId="15642890" w:rsidR="00D21132" w:rsidRPr="003759B7" w:rsidRDefault="00D21132" w:rsidP="00C237BA">
    <w:pPr>
      <w:pStyle w:val="Header"/>
    </w:pPr>
    <w:r>
      <w:rPr>
        <w:noProof/>
        <w:lang w:val="en-GB" w:eastAsia="en-GB"/>
      </w:rPr>
      <w:drawing>
        <wp:anchor distT="0" distB="0" distL="114300" distR="114300" simplePos="0" relativeHeight="251659264" behindDoc="1" locked="0" layoutInCell="1" allowOverlap="1" wp14:anchorId="3E74D99B" wp14:editId="1CF42369">
          <wp:simplePos x="0" y="0"/>
          <wp:positionH relativeFrom="column">
            <wp:posOffset>-447675</wp:posOffset>
          </wp:positionH>
          <wp:positionV relativeFrom="paragraph">
            <wp:posOffset>-153972</wp:posOffset>
          </wp:positionV>
          <wp:extent cx="1896983" cy="4191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0696"/>
    <w:multiLevelType w:val="hybridMultilevel"/>
    <w:tmpl w:val="C5AA9526"/>
    <w:lvl w:ilvl="0" w:tplc="4B0213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A7674E"/>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681C13"/>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7C04986"/>
    <w:multiLevelType w:val="hybridMultilevel"/>
    <w:tmpl w:val="451E0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DC5550"/>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E136D"/>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24F7574C"/>
    <w:multiLevelType w:val="hybridMultilevel"/>
    <w:tmpl w:val="9E7C8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887C0C"/>
    <w:multiLevelType w:val="hybridMultilevel"/>
    <w:tmpl w:val="62F6D188"/>
    <w:lvl w:ilvl="0" w:tplc="5008C1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BD6482"/>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177B6"/>
    <w:multiLevelType w:val="hybridMultilevel"/>
    <w:tmpl w:val="C8A61642"/>
    <w:lvl w:ilvl="0" w:tplc="9F1A39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473161"/>
    <w:multiLevelType w:val="hybridMultilevel"/>
    <w:tmpl w:val="9E7C8F74"/>
    <w:lvl w:ilvl="0" w:tplc="0809000F">
      <w:start w:val="1"/>
      <w:numFmt w:val="decimal"/>
      <w:lvlText w:val="%1."/>
      <w:lvlJc w:val="left"/>
      <w:pPr>
        <w:ind w:left="5007" w:hanging="360"/>
      </w:p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19" w15:restartNumberingAfterBreak="0">
    <w:nsid w:val="41505721"/>
    <w:multiLevelType w:val="hybridMultilevel"/>
    <w:tmpl w:val="393E7812"/>
    <w:lvl w:ilvl="0" w:tplc="F0080D60">
      <w:start w:val="1"/>
      <w:numFmt w:val="decimal"/>
      <w:lvlText w:val="%1."/>
      <w:lvlJc w:val="left"/>
      <w:pPr>
        <w:ind w:left="720" w:hanging="360"/>
      </w:pPr>
      <w:rPr>
        <w:rFonts w:asciiTheme="majorHAnsi" w:eastAsiaTheme="minorEastAsia" w:hAnsiTheme="majorHAnsi" w:cstheme="maj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21841BA"/>
    <w:multiLevelType w:val="hybridMultilevel"/>
    <w:tmpl w:val="9E4A10B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57BCC"/>
    <w:multiLevelType w:val="hybridMultilevel"/>
    <w:tmpl w:val="9E7C8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E94907"/>
    <w:multiLevelType w:val="hybridMultilevel"/>
    <w:tmpl w:val="9E7C8F74"/>
    <w:lvl w:ilvl="0" w:tplc="0809000F">
      <w:start w:val="1"/>
      <w:numFmt w:val="decimal"/>
      <w:lvlText w:val="%1."/>
      <w:lvlJc w:val="left"/>
      <w:pPr>
        <w:ind w:left="4647" w:hanging="360"/>
      </w:p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abstractNum w:abstractNumId="23"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B4FD1"/>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F4E325C"/>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60B2107"/>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7350F6"/>
    <w:multiLevelType w:val="hybridMultilevel"/>
    <w:tmpl w:val="50E0F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35" w15:restartNumberingAfterBreak="0">
    <w:nsid w:val="69BE6EB7"/>
    <w:multiLevelType w:val="hybridMultilevel"/>
    <w:tmpl w:val="3FE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87096"/>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CB7C32"/>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A6279D"/>
    <w:multiLevelType w:val="hybridMultilevel"/>
    <w:tmpl w:val="9E7C8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abstractNum w:abstractNumId="40" w15:restartNumberingAfterBreak="0">
    <w:nsid w:val="7FF1280D"/>
    <w:multiLevelType w:val="hybridMultilevel"/>
    <w:tmpl w:val="962EF5AA"/>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31"/>
  </w:num>
  <w:num w:numId="2">
    <w:abstractNumId w:val="39"/>
  </w:num>
  <w:num w:numId="3">
    <w:abstractNumId w:val="27"/>
  </w:num>
  <w:num w:numId="4">
    <w:abstractNumId w:val="13"/>
  </w:num>
  <w:num w:numId="5">
    <w:abstractNumId w:val="30"/>
  </w:num>
  <w:num w:numId="6">
    <w:abstractNumId w:val="1"/>
  </w:num>
  <w:num w:numId="7">
    <w:abstractNumId w:val="32"/>
  </w:num>
  <w:num w:numId="8">
    <w:abstractNumId w:val="24"/>
  </w:num>
  <w:num w:numId="9">
    <w:abstractNumId w:val="34"/>
  </w:num>
  <w:num w:numId="10">
    <w:abstractNumId w:val="4"/>
  </w:num>
  <w:num w:numId="11">
    <w:abstractNumId w:val="5"/>
  </w:num>
  <w:num w:numId="12">
    <w:abstractNumId w:val="26"/>
  </w:num>
  <w:num w:numId="13">
    <w:abstractNumId w:val="7"/>
  </w:num>
  <w:num w:numId="14">
    <w:abstractNumId w:val="22"/>
  </w:num>
  <w:num w:numId="15">
    <w:abstractNumId w:val="0"/>
  </w:num>
  <w:num w:numId="16">
    <w:abstractNumId w:val="23"/>
  </w:num>
  <w:num w:numId="17">
    <w:abstractNumId w:val="9"/>
  </w:num>
  <w:num w:numId="18">
    <w:abstractNumId w:val="11"/>
  </w:num>
  <w:num w:numId="19">
    <w:abstractNumId w:val="37"/>
  </w:num>
  <w:num w:numId="20">
    <w:abstractNumId w:val="20"/>
  </w:num>
  <w:num w:numId="21">
    <w:abstractNumId w:val="25"/>
  </w:num>
  <w:num w:numId="22">
    <w:abstractNumId w:val="16"/>
  </w:num>
  <w:num w:numId="23">
    <w:abstractNumId w:val="10"/>
  </w:num>
  <w:num w:numId="24">
    <w:abstractNumId w:val="28"/>
  </w:num>
  <w:num w:numId="25">
    <w:abstractNumId w:val="12"/>
  </w:num>
  <w:num w:numId="26">
    <w:abstractNumId w:val="18"/>
  </w:num>
  <w:num w:numId="27">
    <w:abstractNumId w:val="3"/>
  </w:num>
  <w:num w:numId="28">
    <w:abstractNumId w:val="35"/>
  </w:num>
  <w:num w:numId="29">
    <w:abstractNumId w:val="40"/>
  </w:num>
  <w:num w:numId="30">
    <w:abstractNumId w:val="6"/>
  </w:num>
  <w:num w:numId="31">
    <w:abstractNumId w:val="29"/>
  </w:num>
  <w:num w:numId="32">
    <w:abstractNumId w:val="36"/>
  </w:num>
  <w:num w:numId="33">
    <w:abstractNumId w:val="8"/>
  </w:num>
  <w:num w:numId="34">
    <w:abstractNumId w:val="38"/>
  </w:num>
  <w:num w:numId="35">
    <w:abstractNumId w:val="21"/>
  </w:num>
  <w:num w:numId="36">
    <w:abstractNumId w:val="14"/>
  </w:num>
  <w:num w:numId="37">
    <w:abstractNumId w:val="19"/>
  </w:num>
  <w:num w:numId="38">
    <w:abstractNumId w:val="17"/>
  </w:num>
  <w:num w:numId="39">
    <w:abstractNumId w:val="15"/>
  </w:num>
  <w:num w:numId="40">
    <w:abstractNumId w:val="2"/>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03"/>
    <w:rsid w:val="000030DF"/>
    <w:rsid w:val="00036492"/>
    <w:rsid w:val="00042103"/>
    <w:rsid w:val="000441B2"/>
    <w:rsid w:val="00054C03"/>
    <w:rsid w:val="00055593"/>
    <w:rsid w:val="00060780"/>
    <w:rsid w:val="000704FA"/>
    <w:rsid w:val="000849D2"/>
    <w:rsid w:val="00090772"/>
    <w:rsid w:val="00091528"/>
    <w:rsid w:val="00092D07"/>
    <w:rsid w:val="000C336E"/>
    <w:rsid w:val="000E1F57"/>
    <w:rsid w:val="000F203D"/>
    <w:rsid w:val="000F23DA"/>
    <w:rsid w:val="00101582"/>
    <w:rsid w:val="00101AFB"/>
    <w:rsid w:val="001065DF"/>
    <w:rsid w:val="00112AF1"/>
    <w:rsid w:val="0012481F"/>
    <w:rsid w:val="00126540"/>
    <w:rsid w:val="001527FF"/>
    <w:rsid w:val="0015367D"/>
    <w:rsid w:val="00167141"/>
    <w:rsid w:val="00183A59"/>
    <w:rsid w:val="00197CFB"/>
    <w:rsid w:val="001A2FAF"/>
    <w:rsid w:val="001B1BA1"/>
    <w:rsid w:val="001B2BB9"/>
    <w:rsid w:val="001B4A31"/>
    <w:rsid w:val="001D0C4D"/>
    <w:rsid w:val="001D2608"/>
    <w:rsid w:val="001D63B4"/>
    <w:rsid w:val="001E2ACB"/>
    <w:rsid w:val="001E5B5B"/>
    <w:rsid w:val="001E786F"/>
    <w:rsid w:val="00203C50"/>
    <w:rsid w:val="00204CA5"/>
    <w:rsid w:val="002163CA"/>
    <w:rsid w:val="00217434"/>
    <w:rsid w:val="00223B9B"/>
    <w:rsid w:val="00255B0E"/>
    <w:rsid w:val="002603E3"/>
    <w:rsid w:val="00273769"/>
    <w:rsid w:val="00273806"/>
    <w:rsid w:val="00295128"/>
    <w:rsid w:val="002A45ED"/>
    <w:rsid w:val="002B1B1F"/>
    <w:rsid w:val="002C2341"/>
    <w:rsid w:val="002D5784"/>
    <w:rsid w:val="003174C7"/>
    <w:rsid w:val="0032044D"/>
    <w:rsid w:val="00323B70"/>
    <w:rsid w:val="003304B2"/>
    <w:rsid w:val="003454E0"/>
    <w:rsid w:val="00350B1B"/>
    <w:rsid w:val="0036325C"/>
    <w:rsid w:val="00364E87"/>
    <w:rsid w:val="00371C90"/>
    <w:rsid w:val="003759B7"/>
    <w:rsid w:val="00397465"/>
    <w:rsid w:val="003B3692"/>
    <w:rsid w:val="003D0CC1"/>
    <w:rsid w:val="003D61CC"/>
    <w:rsid w:val="003E5D8C"/>
    <w:rsid w:val="003E7AEF"/>
    <w:rsid w:val="003F407E"/>
    <w:rsid w:val="003F624C"/>
    <w:rsid w:val="004066A1"/>
    <w:rsid w:val="004145B7"/>
    <w:rsid w:val="00434FEF"/>
    <w:rsid w:val="004401D2"/>
    <w:rsid w:val="00457667"/>
    <w:rsid w:val="00464ABB"/>
    <w:rsid w:val="004A42C3"/>
    <w:rsid w:val="004A702D"/>
    <w:rsid w:val="004C0847"/>
    <w:rsid w:val="004C6D7E"/>
    <w:rsid w:val="004D6B26"/>
    <w:rsid w:val="004D6F6C"/>
    <w:rsid w:val="004F2CA5"/>
    <w:rsid w:val="004F7757"/>
    <w:rsid w:val="00501591"/>
    <w:rsid w:val="00520660"/>
    <w:rsid w:val="0052479E"/>
    <w:rsid w:val="00527B19"/>
    <w:rsid w:val="00536837"/>
    <w:rsid w:val="00540139"/>
    <w:rsid w:val="00547AF1"/>
    <w:rsid w:val="00554472"/>
    <w:rsid w:val="005635B4"/>
    <w:rsid w:val="00573C9D"/>
    <w:rsid w:val="005779DB"/>
    <w:rsid w:val="0059236E"/>
    <w:rsid w:val="005B074F"/>
    <w:rsid w:val="005B2A97"/>
    <w:rsid w:val="005D345D"/>
    <w:rsid w:val="005F7B6D"/>
    <w:rsid w:val="00612038"/>
    <w:rsid w:val="0063275C"/>
    <w:rsid w:val="00633D24"/>
    <w:rsid w:val="00642473"/>
    <w:rsid w:val="0064261F"/>
    <w:rsid w:val="00643817"/>
    <w:rsid w:val="006571D8"/>
    <w:rsid w:val="00661979"/>
    <w:rsid w:val="00663581"/>
    <w:rsid w:val="0067273F"/>
    <w:rsid w:val="00674BFB"/>
    <w:rsid w:val="00684A27"/>
    <w:rsid w:val="006A4473"/>
    <w:rsid w:val="006A77BA"/>
    <w:rsid w:val="006B7A50"/>
    <w:rsid w:val="006C35BE"/>
    <w:rsid w:val="006C3D8C"/>
    <w:rsid w:val="006D43EF"/>
    <w:rsid w:val="006E14BF"/>
    <w:rsid w:val="006E4733"/>
    <w:rsid w:val="006E55AB"/>
    <w:rsid w:val="006F1CF5"/>
    <w:rsid w:val="006F5C8B"/>
    <w:rsid w:val="006F7545"/>
    <w:rsid w:val="00715CB0"/>
    <w:rsid w:val="00721797"/>
    <w:rsid w:val="00723AF5"/>
    <w:rsid w:val="0073687B"/>
    <w:rsid w:val="007369D4"/>
    <w:rsid w:val="00745789"/>
    <w:rsid w:val="00760FA6"/>
    <w:rsid w:val="00767F28"/>
    <w:rsid w:val="007B7492"/>
    <w:rsid w:val="007C4586"/>
    <w:rsid w:val="007C4F8F"/>
    <w:rsid w:val="007E6B9A"/>
    <w:rsid w:val="007F3A6C"/>
    <w:rsid w:val="007F60DA"/>
    <w:rsid w:val="00817351"/>
    <w:rsid w:val="008257A4"/>
    <w:rsid w:val="00856B3D"/>
    <w:rsid w:val="008574DD"/>
    <w:rsid w:val="0086674A"/>
    <w:rsid w:val="00884D2F"/>
    <w:rsid w:val="008932DB"/>
    <w:rsid w:val="008A0DFE"/>
    <w:rsid w:val="008E32E8"/>
    <w:rsid w:val="008F509E"/>
    <w:rsid w:val="009169EE"/>
    <w:rsid w:val="00920EC3"/>
    <w:rsid w:val="00941DAA"/>
    <w:rsid w:val="00942595"/>
    <w:rsid w:val="00943ABE"/>
    <w:rsid w:val="00956226"/>
    <w:rsid w:val="00975CAE"/>
    <w:rsid w:val="00997017"/>
    <w:rsid w:val="009F0310"/>
    <w:rsid w:val="00A00121"/>
    <w:rsid w:val="00A05033"/>
    <w:rsid w:val="00A1731D"/>
    <w:rsid w:val="00A4345B"/>
    <w:rsid w:val="00A46C9D"/>
    <w:rsid w:val="00A52D7A"/>
    <w:rsid w:val="00A531A1"/>
    <w:rsid w:val="00A566E1"/>
    <w:rsid w:val="00A61A81"/>
    <w:rsid w:val="00AB51F6"/>
    <w:rsid w:val="00AC253C"/>
    <w:rsid w:val="00AD430E"/>
    <w:rsid w:val="00AD7543"/>
    <w:rsid w:val="00AD77A0"/>
    <w:rsid w:val="00AE441C"/>
    <w:rsid w:val="00AE5353"/>
    <w:rsid w:val="00AF0C0E"/>
    <w:rsid w:val="00B040E9"/>
    <w:rsid w:val="00B04512"/>
    <w:rsid w:val="00B466F1"/>
    <w:rsid w:val="00B64DA9"/>
    <w:rsid w:val="00B6526F"/>
    <w:rsid w:val="00BD1214"/>
    <w:rsid w:val="00BE0713"/>
    <w:rsid w:val="00BE5A5B"/>
    <w:rsid w:val="00BE6154"/>
    <w:rsid w:val="00BF1BC0"/>
    <w:rsid w:val="00BF256C"/>
    <w:rsid w:val="00BF6EDB"/>
    <w:rsid w:val="00C072F4"/>
    <w:rsid w:val="00C215C4"/>
    <w:rsid w:val="00C237BA"/>
    <w:rsid w:val="00C45711"/>
    <w:rsid w:val="00C458E8"/>
    <w:rsid w:val="00C55BC5"/>
    <w:rsid w:val="00C601D5"/>
    <w:rsid w:val="00C7189B"/>
    <w:rsid w:val="00C82DC3"/>
    <w:rsid w:val="00CC27E8"/>
    <w:rsid w:val="00CC72F2"/>
    <w:rsid w:val="00CE49AF"/>
    <w:rsid w:val="00CF0AD1"/>
    <w:rsid w:val="00CF3001"/>
    <w:rsid w:val="00D01015"/>
    <w:rsid w:val="00D21132"/>
    <w:rsid w:val="00D32391"/>
    <w:rsid w:val="00D346DD"/>
    <w:rsid w:val="00D5672F"/>
    <w:rsid w:val="00D61372"/>
    <w:rsid w:val="00D652CD"/>
    <w:rsid w:val="00D75F48"/>
    <w:rsid w:val="00D80908"/>
    <w:rsid w:val="00D90E8A"/>
    <w:rsid w:val="00D91DA0"/>
    <w:rsid w:val="00DA43FF"/>
    <w:rsid w:val="00DB5E03"/>
    <w:rsid w:val="00DC6501"/>
    <w:rsid w:val="00DC69E0"/>
    <w:rsid w:val="00DD30E7"/>
    <w:rsid w:val="00DD5103"/>
    <w:rsid w:val="00DD737B"/>
    <w:rsid w:val="00DF40E3"/>
    <w:rsid w:val="00DF45F4"/>
    <w:rsid w:val="00DF6E87"/>
    <w:rsid w:val="00E0496B"/>
    <w:rsid w:val="00E04DA5"/>
    <w:rsid w:val="00E13F60"/>
    <w:rsid w:val="00E15F28"/>
    <w:rsid w:val="00E30F62"/>
    <w:rsid w:val="00E52BE1"/>
    <w:rsid w:val="00E71CB2"/>
    <w:rsid w:val="00E7448D"/>
    <w:rsid w:val="00E93474"/>
    <w:rsid w:val="00E9682A"/>
    <w:rsid w:val="00EC3F1C"/>
    <w:rsid w:val="00ED1498"/>
    <w:rsid w:val="00ED60B7"/>
    <w:rsid w:val="00EE3BD8"/>
    <w:rsid w:val="00EE6952"/>
    <w:rsid w:val="00EF74F4"/>
    <w:rsid w:val="00F127D8"/>
    <w:rsid w:val="00F46778"/>
    <w:rsid w:val="00F5014D"/>
    <w:rsid w:val="00F63145"/>
    <w:rsid w:val="00F65032"/>
    <w:rsid w:val="00F6575C"/>
    <w:rsid w:val="00F76488"/>
    <w:rsid w:val="00F85419"/>
    <w:rsid w:val="00F92789"/>
    <w:rsid w:val="00F965BB"/>
    <w:rsid w:val="00F97B74"/>
    <w:rsid w:val="00FC6DCE"/>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708AD78"/>
  <w14:defaultImageDpi w14:val="300"/>
  <w15:docId w15:val="{374AA65B-5812-46F0-B087-9DC87BB0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 w:type="paragraph" w:styleId="Revision">
    <w:name w:val="Revision"/>
    <w:hidden/>
    <w:uiPriority w:val="99"/>
    <w:semiHidden/>
    <w:rsid w:val="00A4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22133002">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2852-647D-406D-B643-7B72367B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Ghazeem Rabin</dc:creator>
  <cp:lastModifiedBy>Amy Morris</cp:lastModifiedBy>
  <cp:revision>4</cp:revision>
  <cp:lastPrinted>2021-04-20T14:29:00Z</cp:lastPrinted>
  <dcterms:created xsi:type="dcterms:W3CDTF">2021-04-27T11:36:00Z</dcterms:created>
  <dcterms:modified xsi:type="dcterms:W3CDTF">2021-04-28T10:47:00Z</dcterms:modified>
</cp:coreProperties>
</file>